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CACDB" w14:textId="30A9AEC5" w:rsidR="002072BD" w:rsidRPr="002072BD" w:rsidRDefault="002072BD" w:rsidP="002072BD">
      <w:pPr>
        <w:jc w:val="center"/>
      </w:pPr>
      <w:r w:rsidRPr="002072BD">
        <w:rPr>
          <w:b/>
          <w:bCs/>
          <w:color w:val="00A3E0"/>
          <w:sz w:val="32"/>
          <w:szCs w:val="32"/>
        </w:rPr>
        <w:t>Digital Health Practice Group</w:t>
      </w:r>
    </w:p>
    <w:p w14:paraId="5A2AA4C4" w14:textId="1831E67F" w:rsidR="004C6A1A" w:rsidRPr="002072BD" w:rsidRDefault="002072BD">
      <w:pPr>
        <w:spacing w:before="2880" w:after="200"/>
        <w:jc w:val="center"/>
        <w:rPr>
          <w:b/>
          <w:bCs/>
          <w:color w:val="00A3E0"/>
          <w:sz w:val="32"/>
          <w:szCs w:val="32"/>
        </w:rPr>
      </w:pPr>
      <w:r w:rsidRPr="002072BD">
        <w:rPr>
          <w:b/>
          <w:bCs/>
          <w:color w:val="00A3E0"/>
          <w:sz w:val="32"/>
          <w:szCs w:val="32"/>
        </w:rPr>
        <w:t>Digital Health Practice Group</w:t>
      </w:r>
      <w:r>
        <w:rPr>
          <w:b/>
          <w:bCs/>
          <w:color w:val="00A3E0"/>
          <w:sz w:val="32"/>
          <w:szCs w:val="32"/>
        </w:rPr>
        <w:t xml:space="preserve"> </w:t>
      </w:r>
      <w:r w:rsidR="00000000">
        <w:rPr>
          <w:b/>
          <w:bCs/>
          <w:color w:val="00A3E0"/>
          <w:sz w:val="32"/>
          <w:szCs w:val="32"/>
        </w:rPr>
        <w:t>Report</w:t>
      </w:r>
    </w:p>
    <w:p w14:paraId="634CAF6E" w14:textId="77777777" w:rsidR="004C6A1A" w:rsidRDefault="00000000">
      <w:pPr>
        <w:spacing w:after="800"/>
        <w:jc w:val="center"/>
      </w:pPr>
      <w:r>
        <w:rPr>
          <w:color w:val="5B5B5B"/>
        </w:rPr>
        <w:t>January 2026</w:t>
      </w:r>
    </w:p>
    <w:p w14:paraId="0FF2F76A" w14:textId="77777777" w:rsidR="004C6A1A" w:rsidRDefault="00000000">
      <w:pPr>
        <w:spacing w:after="200"/>
        <w:jc w:val="center"/>
      </w:pPr>
      <w:r>
        <w:rPr>
          <w:b/>
          <w:bCs/>
          <w:color w:val="00205B"/>
          <w:sz w:val="40"/>
          <w:szCs w:val="40"/>
        </w:rPr>
        <w:t>Indonesia's Digital Health Transformation in 2026</w:t>
      </w:r>
    </w:p>
    <w:p w14:paraId="770A58EC" w14:textId="77777777" w:rsidR="004C6A1A" w:rsidRDefault="00000000">
      <w:pPr>
        <w:spacing w:after="400"/>
        <w:jc w:val="center"/>
      </w:pPr>
      <w:r>
        <w:rPr>
          <w:color w:val="5B5B5B"/>
          <w:sz w:val="28"/>
          <w:szCs w:val="28"/>
        </w:rPr>
        <w:t>From Policy Ambition to Implementation Reality</w:t>
      </w:r>
    </w:p>
    <w:p w14:paraId="63025782" w14:textId="77777777" w:rsidR="004C6A1A" w:rsidRDefault="00000000">
      <w:pPr>
        <w:spacing w:after="200"/>
        <w:jc w:val="center"/>
      </w:pPr>
      <w:r>
        <w:rPr>
          <w:color w:val="5B5B5B"/>
          <w:sz w:val="24"/>
          <w:szCs w:val="24"/>
        </w:rPr>
        <w:t>A Strategic Framework for Advancing Health System</w:t>
      </w:r>
    </w:p>
    <w:p w14:paraId="6BE40724" w14:textId="77777777" w:rsidR="004C6A1A" w:rsidRDefault="00000000">
      <w:pPr>
        <w:spacing w:after="800"/>
        <w:jc w:val="center"/>
      </w:pPr>
      <w:r>
        <w:rPr>
          <w:color w:val="5B5B5B"/>
          <w:sz w:val="24"/>
          <w:szCs w:val="24"/>
        </w:rPr>
        <w:t>Strengthening Through Digital Innovation and Data-Driven Governance</w:t>
      </w:r>
    </w:p>
    <w:p w14:paraId="25F2E604" w14:textId="77777777" w:rsidR="004C6A1A" w:rsidRDefault="00000000">
      <w:pPr>
        <w:spacing w:after="160"/>
        <w:jc w:val="center"/>
      </w:pPr>
      <w:r>
        <w:rPr>
          <w:b/>
          <w:bCs/>
          <w:color w:val="00205B"/>
        </w:rPr>
        <w:t>Author:</w:t>
      </w:r>
    </w:p>
    <w:p w14:paraId="726EFD8B" w14:textId="483DA093" w:rsidR="004C6A1A" w:rsidRDefault="00000000">
      <w:pPr>
        <w:spacing w:after="80"/>
        <w:jc w:val="center"/>
      </w:pPr>
      <w:r>
        <w:rPr>
          <w:color w:val="5B5B5B"/>
        </w:rPr>
        <w:t>Ahmad Hidayat</w:t>
      </w:r>
    </w:p>
    <w:p w14:paraId="3B442FED" w14:textId="0E9876ED" w:rsidR="004C6A1A" w:rsidRDefault="00000000" w:rsidP="002072BD">
      <w:pPr>
        <w:spacing w:after="80"/>
        <w:jc w:val="center"/>
      </w:pPr>
      <w:r>
        <w:rPr>
          <w:i/>
          <w:iCs/>
          <w:color w:val="5B5B5B"/>
          <w:sz w:val="20"/>
          <w:szCs w:val="20"/>
        </w:rPr>
        <w:t xml:space="preserve">Chairman, Technical Working Group for SATUSEHAT </w:t>
      </w:r>
      <w:r w:rsidR="002072BD">
        <w:rPr>
          <w:i/>
          <w:iCs/>
          <w:color w:val="5B5B5B"/>
          <w:sz w:val="20"/>
          <w:szCs w:val="20"/>
        </w:rPr>
        <w:br/>
      </w:r>
      <w:r>
        <w:br w:type="page"/>
      </w:r>
    </w:p>
    <w:p w14:paraId="41EF797B" w14:textId="77777777" w:rsidR="004C6A1A" w:rsidRDefault="00000000">
      <w:pPr>
        <w:pStyle w:val="Heading3"/>
        <w:spacing w:before="400" w:after="200"/>
      </w:pPr>
      <w:bookmarkStart w:id="0" w:name="_Toc219529093"/>
      <w:r>
        <w:lastRenderedPageBreak/>
        <w:t>Disclaimer</w:t>
      </w:r>
      <w:bookmarkEnd w:id="0"/>
    </w:p>
    <w:p w14:paraId="1B142A1E" w14:textId="18BC6DFE" w:rsidR="004C6A1A" w:rsidRDefault="00000000">
      <w:pPr>
        <w:spacing w:after="200"/>
      </w:pPr>
      <w:r>
        <w:rPr>
          <w:sz w:val="20"/>
          <w:szCs w:val="20"/>
        </w:rPr>
        <w:t xml:space="preserve">This report is prepared for informational purposes only. The findings, interpretations, and conclusions expressed in this report do not necessarily reflect the views of the </w:t>
      </w:r>
      <w:r w:rsidR="002072BD">
        <w:rPr>
          <w:sz w:val="20"/>
          <w:szCs w:val="20"/>
        </w:rPr>
        <w:t>Ministry of Health Republic of Indonesia</w:t>
      </w:r>
      <w:r>
        <w:rPr>
          <w:sz w:val="20"/>
          <w:szCs w:val="20"/>
        </w:rPr>
        <w:t xml:space="preserve">. The </w:t>
      </w:r>
      <w:r w:rsidR="00A73D98">
        <w:rPr>
          <w:sz w:val="20"/>
          <w:szCs w:val="20"/>
        </w:rPr>
        <w:t>Ministry of Health Republic of Indonesia</w:t>
      </w:r>
      <w:r>
        <w:rPr>
          <w:sz w:val="20"/>
          <w:szCs w:val="20"/>
        </w:rPr>
        <w:t xml:space="preserve"> does not guarantee the accuracy of the data included in this work and accepts no responsibility for any consequence of their use.</w:t>
      </w:r>
    </w:p>
    <w:p w14:paraId="6FA090D8" w14:textId="77777777" w:rsidR="004C6A1A" w:rsidRDefault="00000000">
      <w:r>
        <w:br w:type="page"/>
      </w:r>
    </w:p>
    <w:p w14:paraId="7DE1A766" w14:textId="77777777" w:rsidR="004C6A1A" w:rsidRDefault="00000000">
      <w:pPr>
        <w:pStyle w:val="Heading1"/>
      </w:pPr>
      <w:bookmarkStart w:id="1" w:name="_Toc219529094"/>
      <w:r>
        <w:lastRenderedPageBreak/>
        <w:t>Executive Summary</w:t>
      </w:r>
      <w:bookmarkEnd w:id="1"/>
    </w:p>
    <w:p w14:paraId="54DFFAB3" w14:textId="77777777" w:rsidR="004C6A1A" w:rsidRDefault="00000000">
      <w:pPr>
        <w:shd w:val="clear" w:color="auto" w:fill="E8F4F8"/>
        <w:spacing w:before="200" w:after="200"/>
        <w:ind w:left="360" w:right="360"/>
      </w:pPr>
      <w:r>
        <w:t>Indonesia stands at a defining moment in its digital health journey, with a projected market value exceeding USD900 billion in 2026. This report examines the strategic imperatives for translating policy ambition into implementation reality, drawing on comprehensive analysis of SATUSEHAT platform progress, regulatory frameworks, and market dynamics.</w:t>
      </w:r>
    </w:p>
    <w:p w14:paraId="2FA18E9A" w14:textId="77777777" w:rsidR="004C6A1A" w:rsidRDefault="00000000">
      <w:pPr>
        <w:pStyle w:val="Heading2"/>
      </w:pPr>
      <w:bookmarkStart w:id="2" w:name="_Toc219529095"/>
      <w:r>
        <w:t>Key Findings</w:t>
      </w:r>
      <w:bookmarkEnd w:id="2"/>
    </w:p>
    <w:p w14:paraId="63E88129" w14:textId="77777777" w:rsidR="004C6A1A" w:rsidRDefault="00000000">
      <w:pPr>
        <w:pStyle w:val="ListParagraph"/>
        <w:numPr>
          <w:ilvl w:val="0"/>
          <w:numId w:val="2"/>
        </w:numPr>
      </w:pPr>
      <w:r>
        <w:t>SATUSEHAT has expanded from 16 facilities in 2022 to over 34,000 facilities by December 2024, demonstrating unprecedented momentum.</w:t>
      </w:r>
    </w:p>
    <w:p w14:paraId="69AFEC37" w14:textId="77777777" w:rsidR="004C6A1A" w:rsidRDefault="00000000">
      <w:pPr>
        <w:pStyle w:val="ListParagraph"/>
        <w:numPr>
          <w:ilvl w:val="0"/>
          <w:numId w:val="2"/>
        </w:numPr>
      </w:pPr>
      <w:r>
        <w:t>Data submission compliance declined from 58% at 50% threshold to substantially lower rates at 100% threshold, revealing implementation challenges.</w:t>
      </w:r>
    </w:p>
    <w:p w14:paraId="1D05F085" w14:textId="77777777" w:rsidR="004C6A1A" w:rsidRDefault="00000000">
      <w:pPr>
        <w:pStyle w:val="ListParagraph"/>
        <w:numPr>
          <w:ilvl w:val="0"/>
          <w:numId w:val="2"/>
        </w:numPr>
      </w:pPr>
      <w:r>
        <w:t>Geographic disparities persist: DKI Jakarta averages 54 health information systems versus Papua's 13 systems—a 41-system differential.</w:t>
      </w:r>
    </w:p>
    <w:p w14:paraId="07E8DF6F" w14:textId="77777777" w:rsidR="004C6A1A" w:rsidRDefault="00000000">
      <w:pPr>
        <w:pStyle w:val="ListParagraph"/>
        <w:numPr>
          <w:ilvl w:val="0"/>
          <w:numId w:val="2"/>
        </w:numPr>
      </w:pPr>
      <w:r>
        <w:t>The Rp244 trillion (USD15 billion) health budget for 2026 includes Rp9.7 trillion specifically for digital health quick-win programs.</w:t>
      </w:r>
    </w:p>
    <w:p w14:paraId="0BD052E2" w14:textId="77777777" w:rsidR="004C6A1A" w:rsidRDefault="00000000">
      <w:pPr>
        <w:pStyle w:val="ListParagraph"/>
        <w:numPr>
          <w:ilvl w:val="0"/>
          <w:numId w:val="2"/>
        </w:numPr>
      </w:pPr>
      <w:r>
        <w:t>Fifty-eight percent of Indonesia's population remains unaware of telemedicine services, representing a fundamental adoption barrier.</w:t>
      </w:r>
    </w:p>
    <w:p w14:paraId="52086C5C" w14:textId="77777777" w:rsidR="004C6A1A" w:rsidRDefault="00000000">
      <w:pPr>
        <w:pStyle w:val="Heading2"/>
        <w:spacing w:before="300" w:after="200"/>
      </w:pPr>
      <w:bookmarkStart w:id="3" w:name="_Toc219529096"/>
      <w:r>
        <w:t>Recommendations at a Glance</w:t>
      </w:r>
      <w:bookmarkEnd w:id="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9024"/>
      </w:tblGrid>
      <w:tr w:rsidR="004C6A1A" w14:paraId="1F095F96"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4F8"/>
          </w:tcPr>
          <w:p w14:paraId="2831F178" w14:textId="77777777" w:rsidR="004C6A1A" w:rsidRDefault="00000000">
            <w:r>
              <w:rPr>
                <w:b/>
                <w:bCs/>
              </w:rPr>
              <w:t>Short-Term (0-6 months): Establish targeted implementation support for SATUSEHAT compliance, expedite Data Protection Authority establishment, launch digital literacy campaign.</w:t>
            </w:r>
          </w:p>
        </w:tc>
      </w:tr>
      <w:tr w:rsidR="004C6A1A" w14:paraId="5F3C112E"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Pr>
          <w:p w14:paraId="45A4D2E9" w14:textId="77777777" w:rsidR="004C6A1A" w:rsidRDefault="00000000">
            <w:r>
              <w:t>Medium-Term (6-18 months): Develop National Health AI Ethics Framework, invest in Eastern Indonesia connectivity infrastructure, scale facility-to-facility telemedicine.</w:t>
            </w:r>
          </w:p>
        </w:tc>
      </w:tr>
      <w:tr w:rsidR="004C6A1A" w14:paraId="2F185C4C"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Pr>
          <w:p w14:paraId="1E6BF811" w14:textId="77777777" w:rsidR="004C6A1A" w:rsidRDefault="00000000">
            <w:r>
              <w:t>Long-Term Vision (18+ months): Indonesia emerges as Southeast Asia's digital health leader by 2030, with SATUSEHAT serving as regional model for national health information exchange.</w:t>
            </w:r>
          </w:p>
        </w:tc>
      </w:tr>
    </w:tbl>
    <w:p w14:paraId="5499AB52" w14:textId="77777777" w:rsidR="004C6A1A" w:rsidRDefault="00000000">
      <w:r>
        <w:br w:type="page"/>
      </w:r>
    </w:p>
    <w:p w14:paraId="264E4F38" w14:textId="77777777" w:rsidR="004C6A1A" w:rsidRDefault="00000000">
      <w:pPr>
        <w:pStyle w:val="Heading1"/>
      </w:pPr>
      <w:bookmarkStart w:id="4" w:name="_Toc219529097"/>
      <w:r>
        <w:lastRenderedPageBreak/>
        <w:t>Table of Contents</w:t>
      </w:r>
      <w:bookmarkEnd w:id="4"/>
    </w:p>
    <w:sdt>
      <w:sdtPr>
        <w:alias w:val="Table of Contents"/>
        <w:id w:val="-1250116424"/>
      </w:sdtPr>
      <w:sdtContent>
        <w:p w14:paraId="2541D66F" w14:textId="77777777" w:rsidR="002072BD" w:rsidRDefault="00000000">
          <w:pPr>
            <w:pStyle w:val="TOC3"/>
            <w:tabs>
              <w:tab w:val="right" w:leader="dot" w:pos="9016"/>
            </w:tabs>
            <w:rPr>
              <w:noProof/>
            </w:rPr>
          </w:pPr>
          <w:r>
            <w:fldChar w:fldCharType="begin"/>
          </w:r>
          <w:r>
            <w:instrText>TOC \h \o "1-3"</w:instrText>
          </w:r>
          <w:r>
            <w:fldChar w:fldCharType="separate"/>
          </w:r>
          <w:hyperlink w:anchor="_Toc219529093" w:history="1">
            <w:r w:rsidR="002072BD" w:rsidRPr="0070623B">
              <w:rPr>
                <w:rStyle w:val="Hyperlink"/>
                <w:noProof/>
              </w:rPr>
              <w:t>Disclaimer</w:t>
            </w:r>
            <w:r w:rsidR="002072BD">
              <w:rPr>
                <w:noProof/>
              </w:rPr>
              <w:tab/>
            </w:r>
            <w:r w:rsidR="002072BD">
              <w:rPr>
                <w:noProof/>
              </w:rPr>
              <w:fldChar w:fldCharType="begin"/>
            </w:r>
            <w:r w:rsidR="002072BD">
              <w:rPr>
                <w:noProof/>
              </w:rPr>
              <w:instrText xml:space="preserve"> PAGEREF _Toc219529093 \h </w:instrText>
            </w:r>
            <w:r w:rsidR="002072BD">
              <w:rPr>
                <w:noProof/>
              </w:rPr>
            </w:r>
            <w:r w:rsidR="002072BD">
              <w:rPr>
                <w:noProof/>
              </w:rPr>
              <w:fldChar w:fldCharType="separate"/>
            </w:r>
            <w:r w:rsidR="002072BD">
              <w:rPr>
                <w:noProof/>
              </w:rPr>
              <w:t>3</w:t>
            </w:r>
            <w:r w:rsidR="002072BD">
              <w:rPr>
                <w:noProof/>
              </w:rPr>
              <w:fldChar w:fldCharType="end"/>
            </w:r>
          </w:hyperlink>
        </w:p>
        <w:p w14:paraId="69CC37EA" w14:textId="77777777" w:rsidR="002072BD" w:rsidRDefault="002072BD">
          <w:pPr>
            <w:pStyle w:val="TOC1"/>
            <w:tabs>
              <w:tab w:val="right" w:leader="dot" w:pos="9016"/>
            </w:tabs>
            <w:rPr>
              <w:noProof/>
            </w:rPr>
          </w:pPr>
          <w:hyperlink w:anchor="_Toc219529094" w:history="1">
            <w:r w:rsidRPr="0070623B">
              <w:rPr>
                <w:rStyle w:val="Hyperlink"/>
                <w:noProof/>
              </w:rPr>
              <w:t>Executive Summary</w:t>
            </w:r>
            <w:r>
              <w:rPr>
                <w:noProof/>
              </w:rPr>
              <w:tab/>
            </w:r>
            <w:r>
              <w:rPr>
                <w:noProof/>
              </w:rPr>
              <w:fldChar w:fldCharType="begin"/>
            </w:r>
            <w:r>
              <w:rPr>
                <w:noProof/>
              </w:rPr>
              <w:instrText xml:space="preserve"> PAGEREF _Toc219529094 \h </w:instrText>
            </w:r>
            <w:r>
              <w:rPr>
                <w:noProof/>
              </w:rPr>
            </w:r>
            <w:r>
              <w:rPr>
                <w:noProof/>
              </w:rPr>
              <w:fldChar w:fldCharType="separate"/>
            </w:r>
            <w:r>
              <w:rPr>
                <w:noProof/>
              </w:rPr>
              <w:t>4</w:t>
            </w:r>
            <w:r>
              <w:rPr>
                <w:noProof/>
              </w:rPr>
              <w:fldChar w:fldCharType="end"/>
            </w:r>
          </w:hyperlink>
        </w:p>
        <w:p w14:paraId="5A89F2CF" w14:textId="77777777" w:rsidR="002072BD" w:rsidRDefault="002072BD">
          <w:pPr>
            <w:pStyle w:val="TOC2"/>
            <w:tabs>
              <w:tab w:val="right" w:leader="dot" w:pos="9016"/>
            </w:tabs>
            <w:rPr>
              <w:noProof/>
            </w:rPr>
          </w:pPr>
          <w:hyperlink w:anchor="_Toc219529095" w:history="1">
            <w:r w:rsidRPr="0070623B">
              <w:rPr>
                <w:rStyle w:val="Hyperlink"/>
                <w:noProof/>
              </w:rPr>
              <w:t>Key Findings</w:t>
            </w:r>
            <w:r>
              <w:rPr>
                <w:noProof/>
              </w:rPr>
              <w:tab/>
            </w:r>
            <w:r>
              <w:rPr>
                <w:noProof/>
              </w:rPr>
              <w:fldChar w:fldCharType="begin"/>
            </w:r>
            <w:r>
              <w:rPr>
                <w:noProof/>
              </w:rPr>
              <w:instrText xml:space="preserve"> PAGEREF _Toc219529095 \h </w:instrText>
            </w:r>
            <w:r>
              <w:rPr>
                <w:noProof/>
              </w:rPr>
            </w:r>
            <w:r>
              <w:rPr>
                <w:noProof/>
              </w:rPr>
              <w:fldChar w:fldCharType="separate"/>
            </w:r>
            <w:r>
              <w:rPr>
                <w:noProof/>
              </w:rPr>
              <w:t>4</w:t>
            </w:r>
            <w:r>
              <w:rPr>
                <w:noProof/>
              </w:rPr>
              <w:fldChar w:fldCharType="end"/>
            </w:r>
          </w:hyperlink>
        </w:p>
        <w:p w14:paraId="7934D121" w14:textId="77777777" w:rsidR="002072BD" w:rsidRDefault="002072BD">
          <w:pPr>
            <w:pStyle w:val="TOC2"/>
            <w:tabs>
              <w:tab w:val="right" w:leader="dot" w:pos="9016"/>
            </w:tabs>
            <w:rPr>
              <w:noProof/>
            </w:rPr>
          </w:pPr>
          <w:hyperlink w:anchor="_Toc219529096" w:history="1">
            <w:r w:rsidRPr="0070623B">
              <w:rPr>
                <w:rStyle w:val="Hyperlink"/>
                <w:noProof/>
              </w:rPr>
              <w:t>Recommendations at a Glance</w:t>
            </w:r>
            <w:r>
              <w:rPr>
                <w:noProof/>
              </w:rPr>
              <w:tab/>
            </w:r>
            <w:r>
              <w:rPr>
                <w:noProof/>
              </w:rPr>
              <w:fldChar w:fldCharType="begin"/>
            </w:r>
            <w:r>
              <w:rPr>
                <w:noProof/>
              </w:rPr>
              <w:instrText xml:space="preserve"> PAGEREF _Toc219529096 \h </w:instrText>
            </w:r>
            <w:r>
              <w:rPr>
                <w:noProof/>
              </w:rPr>
            </w:r>
            <w:r>
              <w:rPr>
                <w:noProof/>
              </w:rPr>
              <w:fldChar w:fldCharType="separate"/>
            </w:r>
            <w:r>
              <w:rPr>
                <w:noProof/>
              </w:rPr>
              <w:t>4</w:t>
            </w:r>
            <w:r>
              <w:rPr>
                <w:noProof/>
              </w:rPr>
              <w:fldChar w:fldCharType="end"/>
            </w:r>
          </w:hyperlink>
        </w:p>
        <w:p w14:paraId="7A47C856" w14:textId="77777777" w:rsidR="002072BD" w:rsidRDefault="002072BD">
          <w:pPr>
            <w:pStyle w:val="TOC1"/>
            <w:tabs>
              <w:tab w:val="right" w:leader="dot" w:pos="9016"/>
            </w:tabs>
            <w:rPr>
              <w:noProof/>
            </w:rPr>
          </w:pPr>
          <w:hyperlink w:anchor="_Toc219529097" w:history="1">
            <w:r w:rsidRPr="0070623B">
              <w:rPr>
                <w:rStyle w:val="Hyperlink"/>
                <w:noProof/>
              </w:rPr>
              <w:t>Table of Contents</w:t>
            </w:r>
            <w:r>
              <w:rPr>
                <w:noProof/>
              </w:rPr>
              <w:tab/>
            </w:r>
            <w:r>
              <w:rPr>
                <w:noProof/>
              </w:rPr>
              <w:fldChar w:fldCharType="begin"/>
            </w:r>
            <w:r>
              <w:rPr>
                <w:noProof/>
              </w:rPr>
              <w:instrText xml:space="preserve"> PAGEREF _Toc219529097 \h </w:instrText>
            </w:r>
            <w:r>
              <w:rPr>
                <w:noProof/>
              </w:rPr>
            </w:r>
            <w:r>
              <w:rPr>
                <w:noProof/>
              </w:rPr>
              <w:fldChar w:fldCharType="separate"/>
            </w:r>
            <w:r>
              <w:rPr>
                <w:noProof/>
              </w:rPr>
              <w:t>5</w:t>
            </w:r>
            <w:r>
              <w:rPr>
                <w:noProof/>
              </w:rPr>
              <w:fldChar w:fldCharType="end"/>
            </w:r>
          </w:hyperlink>
        </w:p>
        <w:p w14:paraId="2EDD73EB" w14:textId="77777777" w:rsidR="002072BD" w:rsidRDefault="002072BD">
          <w:pPr>
            <w:pStyle w:val="TOC1"/>
            <w:tabs>
              <w:tab w:val="right" w:leader="dot" w:pos="9016"/>
            </w:tabs>
            <w:rPr>
              <w:noProof/>
            </w:rPr>
          </w:pPr>
          <w:hyperlink w:anchor="_Toc219529098" w:history="1">
            <w:r w:rsidRPr="0070623B">
              <w:rPr>
                <w:rStyle w:val="Hyperlink"/>
                <w:noProof/>
              </w:rPr>
              <w:t>1. Background</w:t>
            </w:r>
            <w:r>
              <w:rPr>
                <w:noProof/>
              </w:rPr>
              <w:tab/>
            </w:r>
            <w:r>
              <w:rPr>
                <w:noProof/>
              </w:rPr>
              <w:fldChar w:fldCharType="begin"/>
            </w:r>
            <w:r>
              <w:rPr>
                <w:noProof/>
              </w:rPr>
              <w:instrText xml:space="preserve"> PAGEREF _Toc219529098 \h </w:instrText>
            </w:r>
            <w:r>
              <w:rPr>
                <w:noProof/>
              </w:rPr>
            </w:r>
            <w:r>
              <w:rPr>
                <w:noProof/>
              </w:rPr>
              <w:fldChar w:fldCharType="separate"/>
            </w:r>
            <w:r>
              <w:rPr>
                <w:noProof/>
              </w:rPr>
              <w:t>6</w:t>
            </w:r>
            <w:r>
              <w:rPr>
                <w:noProof/>
              </w:rPr>
              <w:fldChar w:fldCharType="end"/>
            </w:r>
          </w:hyperlink>
        </w:p>
        <w:p w14:paraId="00B4CEC6" w14:textId="77777777" w:rsidR="002072BD" w:rsidRDefault="002072BD">
          <w:pPr>
            <w:pStyle w:val="TOC2"/>
            <w:tabs>
              <w:tab w:val="right" w:leader="dot" w:pos="9016"/>
            </w:tabs>
            <w:rPr>
              <w:noProof/>
            </w:rPr>
          </w:pPr>
          <w:hyperlink w:anchor="_Toc219529099" w:history="1">
            <w:r w:rsidRPr="0070623B">
              <w:rPr>
                <w:rStyle w:val="Hyperlink"/>
                <w:noProof/>
              </w:rPr>
              <w:t>Key Development Indicators</w:t>
            </w:r>
            <w:r>
              <w:rPr>
                <w:noProof/>
              </w:rPr>
              <w:tab/>
            </w:r>
            <w:r>
              <w:rPr>
                <w:noProof/>
              </w:rPr>
              <w:fldChar w:fldCharType="begin"/>
            </w:r>
            <w:r>
              <w:rPr>
                <w:noProof/>
              </w:rPr>
              <w:instrText xml:space="preserve"> PAGEREF _Toc219529099 \h </w:instrText>
            </w:r>
            <w:r>
              <w:rPr>
                <w:noProof/>
              </w:rPr>
            </w:r>
            <w:r>
              <w:rPr>
                <w:noProof/>
              </w:rPr>
              <w:fldChar w:fldCharType="separate"/>
            </w:r>
            <w:r>
              <w:rPr>
                <w:noProof/>
              </w:rPr>
              <w:t>6</w:t>
            </w:r>
            <w:r>
              <w:rPr>
                <w:noProof/>
              </w:rPr>
              <w:fldChar w:fldCharType="end"/>
            </w:r>
          </w:hyperlink>
        </w:p>
        <w:p w14:paraId="336D3196" w14:textId="77777777" w:rsidR="002072BD" w:rsidRDefault="002072BD">
          <w:pPr>
            <w:pStyle w:val="TOC1"/>
            <w:tabs>
              <w:tab w:val="right" w:leader="dot" w:pos="9016"/>
            </w:tabs>
            <w:rPr>
              <w:noProof/>
            </w:rPr>
          </w:pPr>
          <w:hyperlink w:anchor="_Toc219529100" w:history="1">
            <w:r w:rsidRPr="0070623B">
              <w:rPr>
                <w:rStyle w:val="Hyperlink"/>
                <w:noProof/>
              </w:rPr>
              <w:t>2. Current Context and Challenges</w:t>
            </w:r>
            <w:r>
              <w:rPr>
                <w:noProof/>
              </w:rPr>
              <w:tab/>
            </w:r>
            <w:r>
              <w:rPr>
                <w:noProof/>
              </w:rPr>
              <w:fldChar w:fldCharType="begin"/>
            </w:r>
            <w:r>
              <w:rPr>
                <w:noProof/>
              </w:rPr>
              <w:instrText xml:space="preserve"> PAGEREF _Toc219529100 \h </w:instrText>
            </w:r>
            <w:r>
              <w:rPr>
                <w:noProof/>
              </w:rPr>
            </w:r>
            <w:r>
              <w:rPr>
                <w:noProof/>
              </w:rPr>
              <w:fldChar w:fldCharType="separate"/>
            </w:r>
            <w:r>
              <w:rPr>
                <w:noProof/>
              </w:rPr>
              <w:t>7</w:t>
            </w:r>
            <w:r>
              <w:rPr>
                <w:noProof/>
              </w:rPr>
              <w:fldChar w:fldCharType="end"/>
            </w:r>
          </w:hyperlink>
        </w:p>
        <w:p w14:paraId="7F140F0C" w14:textId="77777777" w:rsidR="002072BD" w:rsidRDefault="002072BD">
          <w:pPr>
            <w:pStyle w:val="TOC2"/>
            <w:tabs>
              <w:tab w:val="right" w:leader="dot" w:pos="9016"/>
            </w:tabs>
            <w:rPr>
              <w:noProof/>
            </w:rPr>
          </w:pPr>
          <w:hyperlink w:anchor="_Toc219529101" w:history="1">
            <w:r w:rsidRPr="0070623B">
              <w:rPr>
                <w:rStyle w:val="Hyperlink"/>
                <w:noProof/>
              </w:rPr>
              <w:t>Critical Implementation Challenges</w:t>
            </w:r>
            <w:r>
              <w:rPr>
                <w:noProof/>
              </w:rPr>
              <w:tab/>
            </w:r>
            <w:r>
              <w:rPr>
                <w:noProof/>
              </w:rPr>
              <w:fldChar w:fldCharType="begin"/>
            </w:r>
            <w:r>
              <w:rPr>
                <w:noProof/>
              </w:rPr>
              <w:instrText xml:space="preserve"> PAGEREF _Toc219529101 \h </w:instrText>
            </w:r>
            <w:r>
              <w:rPr>
                <w:noProof/>
              </w:rPr>
            </w:r>
            <w:r>
              <w:rPr>
                <w:noProof/>
              </w:rPr>
              <w:fldChar w:fldCharType="separate"/>
            </w:r>
            <w:r>
              <w:rPr>
                <w:noProof/>
              </w:rPr>
              <w:t>7</w:t>
            </w:r>
            <w:r>
              <w:rPr>
                <w:noProof/>
              </w:rPr>
              <w:fldChar w:fldCharType="end"/>
            </w:r>
          </w:hyperlink>
        </w:p>
        <w:p w14:paraId="3F92369C" w14:textId="77777777" w:rsidR="002072BD" w:rsidRDefault="002072BD">
          <w:pPr>
            <w:pStyle w:val="TOC3"/>
            <w:tabs>
              <w:tab w:val="right" w:leader="dot" w:pos="9016"/>
            </w:tabs>
            <w:rPr>
              <w:noProof/>
            </w:rPr>
          </w:pPr>
          <w:hyperlink w:anchor="_Toc219529102" w:history="1">
            <w:r w:rsidRPr="0070623B">
              <w:rPr>
                <w:rStyle w:val="Hyperlink"/>
                <w:noProof/>
              </w:rPr>
              <w:t>Infrastructure Gap</w:t>
            </w:r>
            <w:r>
              <w:rPr>
                <w:noProof/>
              </w:rPr>
              <w:tab/>
            </w:r>
            <w:r>
              <w:rPr>
                <w:noProof/>
              </w:rPr>
              <w:fldChar w:fldCharType="begin"/>
            </w:r>
            <w:r>
              <w:rPr>
                <w:noProof/>
              </w:rPr>
              <w:instrText xml:space="preserve"> PAGEREF _Toc219529102 \h </w:instrText>
            </w:r>
            <w:r>
              <w:rPr>
                <w:noProof/>
              </w:rPr>
            </w:r>
            <w:r>
              <w:rPr>
                <w:noProof/>
              </w:rPr>
              <w:fldChar w:fldCharType="separate"/>
            </w:r>
            <w:r>
              <w:rPr>
                <w:noProof/>
              </w:rPr>
              <w:t>7</w:t>
            </w:r>
            <w:r>
              <w:rPr>
                <w:noProof/>
              </w:rPr>
              <w:fldChar w:fldCharType="end"/>
            </w:r>
          </w:hyperlink>
        </w:p>
        <w:p w14:paraId="6745C879" w14:textId="77777777" w:rsidR="002072BD" w:rsidRDefault="002072BD">
          <w:pPr>
            <w:pStyle w:val="TOC3"/>
            <w:tabs>
              <w:tab w:val="right" w:leader="dot" w:pos="9016"/>
            </w:tabs>
            <w:rPr>
              <w:noProof/>
            </w:rPr>
          </w:pPr>
          <w:hyperlink w:anchor="_Toc219529103" w:history="1">
            <w:r w:rsidRPr="0070623B">
              <w:rPr>
                <w:rStyle w:val="Hyperlink"/>
                <w:noProof/>
              </w:rPr>
              <w:t>Regulatory Uncertainty</w:t>
            </w:r>
            <w:r>
              <w:rPr>
                <w:noProof/>
              </w:rPr>
              <w:tab/>
            </w:r>
            <w:r>
              <w:rPr>
                <w:noProof/>
              </w:rPr>
              <w:fldChar w:fldCharType="begin"/>
            </w:r>
            <w:r>
              <w:rPr>
                <w:noProof/>
              </w:rPr>
              <w:instrText xml:space="preserve"> PAGEREF _Toc219529103 \h </w:instrText>
            </w:r>
            <w:r>
              <w:rPr>
                <w:noProof/>
              </w:rPr>
            </w:r>
            <w:r>
              <w:rPr>
                <w:noProof/>
              </w:rPr>
              <w:fldChar w:fldCharType="separate"/>
            </w:r>
            <w:r>
              <w:rPr>
                <w:noProof/>
              </w:rPr>
              <w:t>7</w:t>
            </w:r>
            <w:r>
              <w:rPr>
                <w:noProof/>
              </w:rPr>
              <w:fldChar w:fldCharType="end"/>
            </w:r>
          </w:hyperlink>
        </w:p>
        <w:p w14:paraId="7B28C6EF" w14:textId="77777777" w:rsidR="002072BD" w:rsidRDefault="002072BD">
          <w:pPr>
            <w:pStyle w:val="TOC3"/>
            <w:tabs>
              <w:tab w:val="right" w:leader="dot" w:pos="9016"/>
            </w:tabs>
            <w:rPr>
              <w:noProof/>
            </w:rPr>
          </w:pPr>
          <w:hyperlink w:anchor="_Toc219529104" w:history="1">
            <w:r w:rsidRPr="0070623B">
              <w:rPr>
                <w:rStyle w:val="Hyperlink"/>
                <w:noProof/>
              </w:rPr>
              <w:t>Awareness Deficit</w:t>
            </w:r>
            <w:r>
              <w:rPr>
                <w:noProof/>
              </w:rPr>
              <w:tab/>
            </w:r>
            <w:r>
              <w:rPr>
                <w:noProof/>
              </w:rPr>
              <w:fldChar w:fldCharType="begin"/>
            </w:r>
            <w:r>
              <w:rPr>
                <w:noProof/>
              </w:rPr>
              <w:instrText xml:space="preserve"> PAGEREF _Toc219529104 \h </w:instrText>
            </w:r>
            <w:r>
              <w:rPr>
                <w:noProof/>
              </w:rPr>
            </w:r>
            <w:r>
              <w:rPr>
                <w:noProof/>
              </w:rPr>
              <w:fldChar w:fldCharType="separate"/>
            </w:r>
            <w:r>
              <w:rPr>
                <w:noProof/>
              </w:rPr>
              <w:t>7</w:t>
            </w:r>
            <w:r>
              <w:rPr>
                <w:noProof/>
              </w:rPr>
              <w:fldChar w:fldCharType="end"/>
            </w:r>
          </w:hyperlink>
        </w:p>
        <w:p w14:paraId="6664BE20" w14:textId="77777777" w:rsidR="002072BD" w:rsidRDefault="002072BD">
          <w:pPr>
            <w:pStyle w:val="TOC1"/>
            <w:tabs>
              <w:tab w:val="right" w:leader="dot" w:pos="9016"/>
            </w:tabs>
            <w:rPr>
              <w:noProof/>
            </w:rPr>
          </w:pPr>
          <w:hyperlink w:anchor="_Toc219529105" w:history="1">
            <w:r w:rsidRPr="0070623B">
              <w:rPr>
                <w:rStyle w:val="Hyperlink"/>
                <w:noProof/>
              </w:rPr>
              <w:t>3. Strategic Analysis and Evidence</w:t>
            </w:r>
            <w:r>
              <w:rPr>
                <w:noProof/>
              </w:rPr>
              <w:tab/>
            </w:r>
            <w:r>
              <w:rPr>
                <w:noProof/>
              </w:rPr>
              <w:fldChar w:fldCharType="begin"/>
            </w:r>
            <w:r>
              <w:rPr>
                <w:noProof/>
              </w:rPr>
              <w:instrText xml:space="preserve"> PAGEREF _Toc219529105 \h </w:instrText>
            </w:r>
            <w:r>
              <w:rPr>
                <w:noProof/>
              </w:rPr>
            </w:r>
            <w:r>
              <w:rPr>
                <w:noProof/>
              </w:rPr>
              <w:fldChar w:fldCharType="separate"/>
            </w:r>
            <w:r>
              <w:rPr>
                <w:noProof/>
              </w:rPr>
              <w:t>8</w:t>
            </w:r>
            <w:r>
              <w:rPr>
                <w:noProof/>
              </w:rPr>
              <w:fldChar w:fldCharType="end"/>
            </w:r>
          </w:hyperlink>
        </w:p>
        <w:p w14:paraId="41DEC2D8" w14:textId="77777777" w:rsidR="002072BD" w:rsidRDefault="002072BD">
          <w:pPr>
            <w:pStyle w:val="TOC2"/>
            <w:tabs>
              <w:tab w:val="right" w:leader="dot" w:pos="9016"/>
            </w:tabs>
            <w:rPr>
              <w:noProof/>
            </w:rPr>
          </w:pPr>
          <w:hyperlink w:anchor="_Toc219529106" w:history="1">
            <w:r w:rsidRPr="0070623B">
              <w:rPr>
                <w:rStyle w:val="Hyperlink"/>
                <w:noProof/>
              </w:rPr>
              <w:t>Theme 1: SATUSEHAT Implementation at the Inflection Point</w:t>
            </w:r>
            <w:r>
              <w:rPr>
                <w:noProof/>
              </w:rPr>
              <w:tab/>
            </w:r>
            <w:r>
              <w:rPr>
                <w:noProof/>
              </w:rPr>
              <w:fldChar w:fldCharType="begin"/>
            </w:r>
            <w:r>
              <w:rPr>
                <w:noProof/>
              </w:rPr>
              <w:instrText xml:space="preserve"> PAGEREF _Toc219529106 \h </w:instrText>
            </w:r>
            <w:r>
              <w:rPr>
                <w:noProof/>
              </w:rPr>
            </w:r>
            <w:r>
              <w:rPr>
                <w:noProof/>
              </w:rPr>
              <w:fldChar w:fldCharType="separate"/>
            </w:r>
            <w:r>
              <w:rPr>
                <w:noProof/>
              </w:rPr>
              <w:t>8</w:t>
            </w:r>
            <w:r>
              <w:rPr>
                <w:noProof/>
              </w:rPr>
              <w:fldChar w:fldCharType="end"/>
            </w:r>
          </w:hyperlink>
        </w:p>
        <w:p w14:paraId="19E59D8E" w14:textId="77777777" w:rsidR="002072BD" w:rsidRDefault="002072BD">
          <w:pPr>
            <w:pStyle w:val="TOC2"/>
            <w:tabs>
              <w:tab w:val="right" w:leader="dot" w:pos="9016"/>
            </w:tabs>
            <w:rPr>
              <w:noProof/>
            </w:rPr>
          </w:pPr>
          <w:hyperlink w:anchor="_Toc219529107" w:history="1">
            <w:r w:rsidRPr="0070623B">
              <w:rPr>
                <w:rStyle w:val="Hyperlink"/>
                <w:noProof/>
              </w:rPr>
              <w:t>Theme 2: Regulatory Foundation and Implementation Gaps</w:t>
            </w:r>
            <w:r>
              <w:rPr>
                <w:noProof/>
              </w:rPr>
              <w:tab/>
            </w:r>
            <w:r>
              <w:rPr>
                <w:noProof/>
              </w:rPr>
              <w:fldChar w:fldCharType="begin"/>
            </w:r>
            <w:r>
              <w:rPr>
                <w:noProof/>
              </w:rPr>
              <w:instrText xml:space="preserve"> PAGEREF _Toc219529107 \h </w:instrText>
            </w:r>
            <w:r>
              <w:rPr>
                <w:noProof/>
              </w:rPr>
            </w:r>
            <w:r>
              <w:rPr>
                <w:noProof/>
              </w:rPr>
              <w:fldChar w:fldCharType="separate"/>
            </w:r>
            <w:r>
              <w:rPr>
                <w:noProof/>
              </w:rPr>
              <w:t>8</w:t>
            </w:r>
            <w:r>
              <w:rPr>
                <w:noProof/>
              </w:rPr>
              <w:fldChar w:fldCharType="end"/>
            </w:r>
          </w:hyperlink>
        </w:p>
        <w:p w14:paraId="18DA1632" w14:textId="77777777" w:rsidR="002072BD" w:rsidRDefault="002072BD">
          <w:pPr>
            <w:pStyle w:val="TOC2"/>
            <w:tabs>
              <w:tab w:val="right" w:leader="dot" w:pos="9016"/>
            </w:tabs>
            <w:rPr>
              <w:noProof/>
            </w:rPr>
          </w:pPr>
          <w:hyperlink w:anchor="_Toc219529108" w:history="1">
            <w:r w:rsidRPr="0070623B">
              <w:rPr>
                <w:rStyle w:val="Hyperlink"/>
                <w:noProof/>
              </w:rPr>
              <w:t>Theme 3: Market Dynamics and Investment Patterns</w:t>
            </w:r>
            <w:r>
              <w:rPr>
                <w:noProof/>
              </w:rPr>
              <w:tab/>
            </w:r>
            <w:r>
              <w:rPr>
                <w:noProof/>
              </w:rPr>
              <w:fldChar w:fldCharType="begin"/>
            </w:r>
            <w:r>
              <w:rPr>
                <w:noProof/>
              </w:rPr>
              <w:instrText xml:space="preserve"> PAGEREF _Toc219529108 \h </w:instrText>
            </w:r>
            <w:r>
              <w:rPr>
                <w:noProof/>
              </w:rPr>
            </w:r>
            <w:r>
              <w:rPr>
                <w:noProof/>
              </w:rPr>
              <w:fldChar w:fldCharType="separate"/>
            </w:r>
            <w:r>
              <w:rPr>
                <w:noProof/>
              </w:rPr>
              <w:t>8</w:t>
            </w:r>
            <w:r>
              <w:rPr>
                <w:noProof/>
              </w:rPr>
              <w:fldChar w:fldCharType="end"/>
            </w:r>
          </w:hyperlink>
        </w:p>
        <w:p w14:paraId="01924C31" w14:textId="77777777" w:rsidR="002072BD" w:rsidRDefault="002072BD">
          <w:pPr>
            <w:pStyle w:val="TOC1"/>
            <w:tabs>
              <w:tab w:val="right" w:leader="dot" w:pos="9016"/>
            </w:tabs>
            <w:rPr>
              <w:noProof/>
            </w:rPr>
          </w:pPr>
          <w:hyperlink w:anchor="_Toc219529109" w:history="1">
            <w:r w:rsidRPr="0070623B">
              <w:rPr>
                <w:rStyle w:val="Hyperlink"/>
                <w:noProof/>
              </w:rPr>
              <w:t>4. Strategic Implications</w:t>
            </w:r>
            <w:r>
              <w:rPr>
                <w:noProof/>
              </w:rPr>
              <w:tab/>
            </w:r>
            <w:r>
              <w:rPr>
                <w:noProof/>
              </w:rPr>
              <w:fldChar w:fldCharType="begin"/>
            </w:r>
            <w:r>
              <w:rPr>
                <w:noProof/>
              </w:rPr>
              <w:instrText xml:space="preserve"> PAGEREF _Toc219529109 \h </w:instrText>
            </w:r>
            <w:r>
              <w:rPr>
                <w:noProof/>
              </w:rPr>
            </w:r>
            <w:r>
              <w:rPr>
                <w:noProof/>
              </w:rPr>
              <w:fldChar w:fldCharType="separate"/>
            </w:r>
            <w:r>
              <w:rPr>
                <w:noProof/>
              </w:rPr>
              <w:t>9</w:t>
            </w:r>
            <w:r>
              <w:rPr>
                <w:noProof/>
              </w:rPr>
              <w:fldChar w:fldCharType="end"/>
            </w:r>
          </w:hyperlink>
        </w:p>
        <w:p w14:paraId="6481A6FA" w14:textId="77777777" w:rsidR="002072BD" w:rsidRDefault="002072BD">
          <w:pPr>
            <w:pStyle w:val="TOC2"/>
            <w:tabs>
              <w:tab w:val="right" w:leader="dot" w:pos="9016"/>
            </w:tabs>
            <w:rPr>
              <w:noProof/>
            </w:rPr>
          </w:pPr>
          <w:hyperlink w:anchor="_Toc219529110" w:history="1">
            <w:r w:rsidRPr="0070623B">
              <w:rPr>
                <w:rStyle w:val="Hyperlink"/>
                <w:noProof/>
              </w:rPr>
              <w:t>For Government Digital Health Transformation Leaders</w:t>
            </w:r>
            <w:r>
              <w:rPr>
                <w:noProof/>
              </w:rPr>
              <w:tab/>
            </w:r>
            <w:r>
              <w:rPr>
                <w:noProof/>
              </w:rPr>
              <w:fldChar w:fldCharType="begin"/>
            </w:r>
            <w:r>
              <w:rPr>
                <w:noProof/>
              </w:rPr>
              <w:instrText xml:space="preserve"> PAGEREF _Toc219529110 \h </w:instrText>
            </w:r>
            <w:r>
              <w:rPr>
                <w:noProof/>
              </w:rPr>
            </w:r>
            <w:r>
              <w:rPr>
                <w:noProof/>
              </w:rPr>
              <w:fldChar w:fldCharType="separate"/>
            </w:r>
            <w:r>
              <w:rPr>
                <w:noProof/>
              </w:rPr>
              <w:t>9</w:t>
            </w:r>
            <w:r>
              <w:rPr>
                <w:noProof/>
              </w:rPr>
              <w:fldChar w:fldCharType="end"/>
            </w:r>
          </w:hyperlink>
        </w:p>
        <w:p w14:paraId="5CEFA0FB" w14:textId="77777777" w:rsidR="002072BD" w:rsidRDefault="002072BD">
          <w:pPr>
            <w:pStyle w:val="TOC2"/>
            <w:tabs>
              <w:tab w:val="right" w:leader="dot" w:pos="9016"/>
            </w:tabs>
            <w:rPr>
              <w:noProof/>
            </w:rPr>
          </w:pPr>
          <w:hyperlink w:anchor="_Toc219529111" w:history="1">
            <w:r w:rsidRPr="0070623B">
              <w:rPr>
                <w:rStyle w:val="Hyperlink"/>
                <w:noProof/>
              </w:rPr>
              <w:t>For Healthtech Innovation Companies</w:t>
            </w:r>
            <w:r>
              <w:rPr>
                <w:noProof/>
              </w:rPr>
              <w:tab/>
            </w:r>
            <w:r>
              <w:rPr>
                <w:noProof/>
              </w:rPr>
              <w:fldChar w:fldCharType="begin"/>
            </w:r>
            <w:r>
              <w:rPr>
                <w:noProof/>
              </w:rPr>
              <w:instrText xml:space="preserve"> PAGEREF _Toc219529111 \h </w:instrText>
            </w:r>
            <w:r>
              <w:rPr>
                <w:noProof/>
              </w:rPr>
            </w:r>
            <w:r>
              <w:rPr>
                <w:noProof/>
              </w:rPr>
              <w:fldChar w:fldCharType="separate"/>
            </w:r>
            <w:r>
              <w:rPr>
                <w:noProof/>
              </w:rPr>
              <w:t>9</w:t>
            </w:r>
            <w:r>
              <w:rPr>
                <w:noProof/>
              </w:rPr>
              <w:fldChar w:fldCharType="end"/>
            </w:r>
          </w:hyperlink>
        </w:p>
        <w:p w14:paraId="6FFFB285" w14:textId="77777777" w:rsidR="002072BD" w:rsidRDefault="002072BD">
          <w:pPr>
            <w:pStyle w:val="TOC1"/>
            <w:tabs>
              <w:tab w:val="right" w:leader="dot" w:pos="9016"/>
            </w:tabs>
            <w:rPr>
              <w:noProof/>
            </w:rPr>
          </w:pPr>
          <w:hyperlink w:anchor="_Toc219529112" w:history="1">
            <w:r w:rsidRPr="0070623B">
              <w:rPr>
                <w:rStyle w:val="Hyperlink"/>
                <w:noProof/>
              </w:rPr>
              <w:t>5. Recommendations and Implementation Pathway</w:t>
            </w:r>
            <w:r>
              <w:rPr>
                <w:noProof/>
              </w:rPr>
              <w:tab/>
            </w:r>
            <w:r>
              <w:rPr>
                <w:noProof/>
              </w:rPr>
              <w:fldChar w:fldCharType="begin"/>
            </w:r>
            <w:r>
              <w:rPr>
                <w:noProof/>
              </w:rPr>
              <w:instrText xml:space="preserve"> PAGEREF _Toc219529112 \h </w:instrText>
            </w:r>
            <w:r>
              <w:rPr>
                <w:noProof/>
              </w:rPr>
            </w:r>
            <w:r>
              <w:rPr>
                <w:noProof/>
              </w:rPr>
              <w:fldChar w:fldCharType="separate"/>
            </w:r>
            <w:r>
              <w:rPr>
                <w:noProof/>
              </w:rPr>
              <w:t>10</w:t>
            </w:r>
            <w:r>
              <w:rPr>
                <w:noProof/>
              </w:rPr>
              <w:fldChar w:fldCharType="end"/>
            </w:r>
          </w:hyperlink>
        </w:p>
        <w:p w14:paraId="3F708364" w14:textId="77777777" w:rsidR="002072BD" w:rsidRDefault="002072BD">
          <w:pPr>
            <w:pStyle w:val="TOC2"/>
            <w:tabs>
              <w:tab w:val="right" w:leader="dot" w:pos="9016"/>
            </w:tabs>
            <w:rPr>
              <w:noProof/>
            </w:rPr>
          </w:pPr>
          <w:hyperlink w:anchor="_Toc219529113" w:history="1">
            <w:r w:rsidRPr="0070623B">
              <w:rPr>
                <w:rStyle w:val="Hyperlink"/>
                <w:noProof/>
              </w:rPr>
              <w:t>Short-Term Actions (0-6 months)</w:t>
            </w:r>
            <w:r>
              <w:rPr>
                <w:noProof/>
              </w:rPr>
              <w:tab/>
            </w:r>
            <w:r>
              <w:rPr>
                <w:noProof/>
              </w:rPr>
              <w:fldChar w:fldCharType="begin"/>
            </w:r>
            <w:r>
              <w:rPr>
                <w:noProof/>
              </w:rPr>
              <w:instrText xml:space="preserve"> PAGEREF _Toc219529113 \h </w:instrText>
            </w:r>
            <w:r>
              <w:rPr>
                <w:noProof/>
              </w:rPr>
            </w:r>
            <w:r>
              <w:rPr>
                <w:noProof/>
              </w:rPr>
              <w:fldChar w:fldCharType="separate"/>
            </w:r>
            <w:r>
              <w:rPr>
                <w:noProof/>
              </w:rPr>
              <w:t>10</w:t>
            </w:r>
            <w:r>
              <w:rPr>
                <w:noProof/>
              </w:rPr>
              <w:fldChar w:fldCharType="end"/>
            </w:r>
          </w:hyperlink>
        </w:p>
        <w:p w14:paraId="5A6D5C88" w14:textId="77777777" w:rsidR="002072BD" w:rsidRDefault="002072BD">
          <w:pPr>
            <w:pStyle w:val="TOC2"/>
            <w:tabs>
              <w:tab w:val="right" w:leader="dot" w:pos="9016"/>
            </w:tabs>
            <w:rPr>
              <w:noProof/>
            </w:rPr>
          </w:pPr>
          <w:hyperlink w:anchor="_Toc219529114" w:history="1">
            <w:r w:rsidRPr="0070623B">
              <w:rPr>
                <w:rStyle w:val="Hyperlink"/>
                <w:noProof/>
              </w:rPr>
              <w:t>Medium-Term Considerations (6-18 months)</w:t>
            </w:r>
            <w:r>
              <w:rPr>
                <w:noProof/>
              </w:rPr>
              <w:tab/>
            </w:r>
            <w:r>
              <w:rPr>
                <w:noProof/>
              </w:rPr>
              <w:fldChar w:fldCharType="begin"/>
            </w:r>
            <w:r>
              <w:rPr>
                <w:noProof/>
              </w:rPr>
              <w:instrText xml:space="preserve"> PAGEREF _Toc219529114 \h </w:instrText>
            </w:r>
            <w:r>
              <w:rPr>
                <w:noProof/>
              </w:rPr>
            </w:r>
            <w:r>
              <w:rPr>
                <w:noProof/>
              </w:rPr>
              <w:fldChar w:fldCharType="separate"/>
            </w:r>
            <w:r>
              <w:rPr>
                <w:noProof/>
              </w:rPr>
              <w:t>10</w:t>
            </w:r>
            <w:r>
              <w:rPr>
                <w:noProof/>
              </w:rPr>
              <w:fldChar w:fldCharType="end"/>
            </w:r>
          </w:hyperlink>
        </w:p>
        <w:p w14:paraId="3083B901" w14:textId="77777777" w:rsidR="002072BD" w:rsidRDefault="002072BD">
          <w:pPr>
            <w:pStyle w:val="TOC1"/>
            <w:tabs>
              <w:tab w:val="right" w:leader="dot" w:pos="9016"/>
            </w:tabs>
            <w:rPr>
              <w:noProof/>
            </w:rPr>
          </w:pPr>
          <w:hyperlink w:anchor="_Toc219529115" w:history="1">
            <w:r w:rsidRPr="0070623B">
              <w:rPr>
                <w:rStyle w:val="Hyperlink"/>
                <w:noProof/>
              </w:rPr>
              <w:t>6. Long-Term Vision and Critical Success Factors</w:t>
            </w:r>
            <w:r>
              <w:rPr>
                <w:noProof/>
              </w:rPr>
              <w:tab/>
            </w:r>
            <w:r>
              <w:rPr>
                <w:noProof/>
              </w:rPr>
              <w:fldChar w:fldCharType="begin"/>
            </w:r>
            <w:r>
              <w:rPr>
                <w:noProof/>
              </w:rPr>
              <w:instrText xml:space="preserve"> PAGEREF _Toc219529115 \h </w:instrText>
            </w:r>
            <w:r>
              <w:rPr>
                <w:noProof/>
              </w:rPr>
            </w:r>
            <w:r>
              <w:rPr>
                <w:noProof/>
              </w:rPr>
              <w:fldChar w:fldCharType="separate"/>
            </w:r>
            <w:r>
              <w:rPr>
                <w:noProof/>
              </w:rPr>
              <w:t>11</w:t>
            </w:r>
            <w:r>
              <w:rPr>
                <w:noProof/>
              </w:rPr>
              <w:fldChar w:fldCharType="end"/>
            </w:r>
          </w:hyperlink>
        </w:p>
        <w:p w14:paraId="485D2EE8" w14:textId="77777777" w:rsidR="002072BD" w:rsidRDefault="002072BD">
          <w:pPr>
            <w:pStyle w:val="TOC2"/>
            <w:tabs>
              <w:tab w:val="right" w:leader="dot" w:pos="9016"/>
            </w:tabs>
            <w:rPr>
              <w:noProof/>
            </w:rPr>
          </w:pPr>
          <w:hyperlink w:anchor="_Toc219529116" w:history="1">
            <w:r w:rsidRPr="0070623B">
              <w:rPr>
                <w:rStyle w:val="Hyperlink"/>
                <w:noProof/>
              </w:rPr>
              <w:t>Critical Success Factors</w:t>
            </w:r>
            <w:r>
              <w:rPr>
                <w:noProof/>
              </w:rPr>
              <w:tab/>
            </w:r>
            <w:r>
              <w:rPr>
                <w:noProof/>
              </w:rPr>
              <w:fldChar w:fldCharType="begin"/>
            </w:r>
            <w:r>
              <w:rPr>
                <w:noProof/>
              </w:rPr>
              <w:instrText xml:space="preserve"> PAGEREF _Toc219529116 \h </w:instrText>
            </w:r>
            <w:r>
              <w:rPr>
                <w:noProof/>
              </w:rPr>
            </w:r>
            <w:r>
              <w:rPr>
                <w:noProof/>
              </w:rPr>
              <w:fldChar w:fldCharType="separate"/>
            </w:r>
            <w:r>
              <w:rPr>
                <w:noProof/>
              </w:rPr>
              <w:t>11</w:t>
            </w:r>
            <w:r>
              <w:rPr>
                <w:noProof/>
              </w:rPr>
              <w:fldChar w:fldCharType="end"/>
            </w:r>
          </w:hyperlink>
        </w:p>
        <w:p w14:paraId="39DD686D" w14:textId="77777777" w:rsidR="002072BD" w:rsidRDefault="002072BD">
          <w:pPr>
            <w:pStyle w:val="TOC1"/>
            <w:tabs>
              <w:tab w:val="right" w:leader="dot" w:pos="9016"/>
            </w:tabs>
            <w:rPr>
              <w:noProof/>
            </w:rPr>
          </w:pPr>
          <w:hyperlink w:anchor="_Toc219529117" w:history="1">
            <w:r w:rsidRPr="0070623B">
              <w:rPr>
                <w:rStyle w:val="Hyperlink"/>
                <w:noProof/>
              </w:rPr>
              <w:t>7. Conclusions</w:t>
            </w:r>
            <w:r>
              <w:rPr>
                <w:noProof/>
              </w:rPr>
              <w:tab/>
            </w:r>
            <w:r>
              <w:rPr>
                <w:noProof/>
              </w:rPr>
              <w:fldChar w:fldCharType="begin"/>
            </w:r>
            <w:r>
              <w:rPr>
                <w:noProof/>
              </w:rPr>
              <w:instrText xml:space="preserve"> PAGEREF _Toc219529117 \h </w:instrText>
            </w:r>
            <w:r>
              <w:rPr>
                <w:noProof/>
              </w:rPr>
            </w:r>
            <w:r>
              <w:rPr>
                <w:noProof/>
              </w:rPr>
              <w:fldChar w:fldCharType="separate"/>
            </w:r>
            <w:r>
              <w:rPr>
                <w:noProof/>
              </w:rPr>
              <w:t>12</w:t>
            </w:r>
            <w:r>
              <w:rPr>
                <w:noProof/>
              </w:rPr>
              <w:fldChar w:fldCharType="end"/>
            </w:r>
          </w:hyperlink>
        </w:p>
        <w:p w14:paraId="7DFBF7E2" w14:textId="77777777" w:rsidR="002072BD" w:rsidRDefault="002072BD">
          <w:pPr>
            <w:pStyle w:val="TOC1"/>
            <w:tabs>
              <w:tab w:val="right" w:leader="dot" w:pos="9016"/>
            </w:tabs>
            <w:rPr>
              <w:noProof/>
            </w:rPr>
          </w:pPr>
          <w:hyperlink w:anchor="_Toc219529118" w:history="1">
            <w:r w:rsidRPr="0070623B">
              <w:rPr>
                <w:rStyle w:val="Hyperlink"/>
                <w:noProof/>
              </w:rPr>
              <w:t>References</w:t>
            </w:r>
            <w:r>
              <w:rPr>
                <w:noProof/>
              </w:rPr>
              <w:tab/>
            </w:r>
            <w:r>
              <w:rPr>
                <w:noProof/>
              </w:rPr>
              <w:fldChar w:fldCharType="begin"/>
            </w:r>
            <w:r>
              <w:rPr>
                <w:noProof/>
              </w:rPr>
              <w:instrText xml:space="preserve"> PAGEREF _Toc219529118 \h </w:instrText>
            </w:r>
            <w:r>
              <w:rPr>
                <w:noProof/>
              </w:rPr>
            </w:r>
            <w:r>
              <w:rPr>
                <w:noProof/>
              </w:rPr>
              <w:fldChar w:fldCharType="separate"/>
            </w:r>
            <w:r>
              <w:rPr>
                <w:noProof/>
              </w:rPr>
              <w:t>13</w:t>
            </w:r>
            <w:r>
              <w:rPr>
                <w:noProof/>
              </w:rPr>
              <w:fldChar w:fldCharType="end"/>
            </w:r>
          </w:hyperlink>
        </w:p>
        <w:p w14:paraId="46619495" w14:textId="77777777" w:rsidR="002072BD" w:rsidRDefault="002072BD">
          <w:pPr>
            <w:pStyle w:val="TOC2"/>
            <w:tabs>
              <w:tab w:val="right" w:leader="dot" w:pos="9016"/>
            </w:tabs>
            <w:rPr>
              <w:noProof/>
            </w:rPr>
          </w:pPr>
          <w:hyperlink w:anchor="_Toc219529119" w:history="1">
            <w:r w:rsidRPr="0070623B">
              <w:rPr>
                <w:rStyle w:val="Hyperlink"/>
                <w:noProof/>
              </w:rPr>
              <w:t>Government Sources</w:t>
            </w:r>
            <w:r>
              <w:rPr>
                <w:noProof/>
              </w:rPr>
              <w:tab/>
            </w:r>
            <w:r>
              <w:rPr>
                <w:noProof/>
              </w:rPr>
              <w:fldChar w:fldCharType="begin"/>
            </w:r>
            <w:r>
              <w:rPr>
                <w:noProof/>
              </w:rPr>
              <w:instrText xml:space="preserve"> PAGEREF _Toc219529119 \h </w:instrText>
            </w:r>
            <w:r>
              <w:rPr>
                <w:noProof/>
              </w:rPr>
            </w:r>
            <w:r>
              <w:rPr>
                <w:noProof/>
              </w:rPr>
              <w:fldChar w:fldCharType="separate"/>
            </w:r>
            <w:r>
              <w:rPr>
                <w:noProof/>
              </w:rPr>
              <w:t>13</w:t>
            </w:r>
            <w:r>
              <w:rPr>
                <w:noProof/>
              </w:rPr>
              <w:fldChar w:fldCharType="end"/>
            </w:r>
          </w:hyperlink>
        </w:p>
        <w:p w14:paraId="288DFF28" w14:textId="77777777" w:rsidR="002072BD" w:rsidRDefault="002072BD">
          <w:pPr>
            <w:pStyle w:val="TOC2"/>
            <w:tabs>
              <w:tab w:val="right" w:leader="dot" w:pos="9016"/>
            </w:tabs>
            <w:rPr>
              <w:noProof/>
            </w:rPr>
          </w:pPr>
          <w:hyperlink w:anchor="_Toc219529120" w:history="1">
            <w:r w:rsidRPr="0070623B">
              <w:rPr>
                <w:rStyle w:val="Hyperlink"/>
                <w:noProof/>
              </w:rPr>
              <w:t>Academic Publications</w:t>
            </w:r>
            <w:r>
              <w:rPr>
                <w:noProof/>
              </w:rPr>
              <w:tab/>
            </w:r>
            <w:r>
              <w:rPr>
                <w:noProof/>
              </w:rPr>
              <w:fldChar w:fldCharType="begin"/>
            </w:r>
            <w:r>
              <w:rPr>
                <w:noProof/>
              </w:rPr>
              <w:instrText xml:space="preserve"> PAGEREF _Toc219529120 \h </w:instrText>
            </w:r>
            <w:r>
              <w:rPr>
                <w:noProof/>
              </w:rPr>
            </w:r>
            <w:r>
              <w:rPr>
                <w:noProof/>
              </w:rPr>
              <w:fldChar w:fldCharType="separate"/>
            </w:r>
            <w:r>
              <w:rPr>
                <w:noProof/>
              </w:rPr>
              <w:t>13</w:t>
            </w:r>
            <w:r>
              <w:rPr>
                <w:noProof/>
              </w:rPr>
              <w:fldChar w:fldCharType="end"/>
            </w:r>
          </w:hyperlink>
        </w:p>
        <w:p w14:paraId="6A827201" w14:textId="77777777" w:rsidR="002072BD" w:rsidRDefault="002072BD">
          <w:pPr>
            <w:pStyle w:val="TOC2"/>
            <w:tabs>
              <w:tab w:val="right" w:leader="dot" w:pos="9016"/>
            </w:tabs>
            <w:rPr>
              <w:noProof/>
            </w:rPr>
          </w:pPr>
          <w:hyperlink w:anchor="_Toc219529121" w:history="1">
            <w:r w:rsidRPr="0070623B">
              <w:rPr>
                <w:rStyle w:val="Hyperlink"/>
                <w:noProof/>
              </w:rPr>
              <w:t>Industry Reports</w:t>
            </w:r>
            <w:r>
              <w:rPr>
                <w:noProof/>
              </w:rPr>
              <w:tab/>
            </w:r>
            <w:r>
              <w:rPr>
                <w:noProof/>
              </w:rPr>
              <w:fldChar w:fldCharType="begin"/>
            </w:r>
            <w:r>
              <w:rPr>
                <w:noProof/>
              </w:rPr>
              <w:instrText xml:space="preserve"> PAGEREF _Toc219529121 \h </w:instrText>
            </w:r>
            <w:r>
              <w:rPr>
                <w:noProof/>
              </w:rPr>
            </w:r>
            <w:r>
              <w:rPr>
                <w:noProof/>
              </w:rPr>
              <w:fldChar w:fldCharType="separate"/>
            </w:r>
            <w:r>
              <w:rPr>
                <w:noProof/>
              </w:rPr>
              <w:t>13</w:t>
            </w:r>
            <w:r>
              <w:rPr>
                <w:noProof/>
              </w:rPr>
              <w:fldChar w:fldCharType="end"/>
            </w:r>
          </w:hyperlink>
        </w:p>
        <w:p w14:paraId="295C6D5A" w14:textId="77777777" w:rsidR="002072BD" w:rsidRDefault="002072BD">
          <w:pPr>
            <w:pStyle w:val="TOC1"/>
            <w:tabs>
              <w:tab w:val="right" w:leader="dot" w:pos="9016"/>
            </w:tabs>
            <w:rPr>
              <w:noProof/>
            </w:rPr>
          </w:pPr>
          <w:hyperlink w:anchor="_Toc219529122" w:history="1">
            <w:r w:rsidRPr="0070623B">
              <w:rPr>
                <w:rStyle w:val="Hyperlink"/>
                <w:noProof/>
              </w:rPr>
              <w:t>About the Author</w:t>
            </w:r>
            <w:r>
              <w:rPr>
                <w:noProof/>
              </w:rPr>
              <w:tab/>
            </w:r>
            <w:r>
              <w:rPr>
                <w:noProof/>
              </w:rPr>
              <w:fldChar w:fldCharType="begin"/>
            </w:r>
            <w:r>
              <w:rPr>
                <w:noProof/>
              </w:rPr>
              <w:instrText xml:space="preserve"> PAGEREF _Toc219529122 \h </w:instrText>
            </w:r>
            <w:r>
              <w:rPr>
                <w:noProof/>
              </w:rPr>
            </w:r>
            <w:r>
              <w:rPr>
                <w:noProof/>
              </w:rPr>
              <w:fldChar w:fldCharType="separate"/>
            </w:r>
            <w:r>
              <w:rPr>
                <w:noProof/>
              </w:rPr>
              <w:t>14</w:t>
            </w:r>
            <w:r>
              <w:rPr>
                <w:noProof/>
              </w:rPr>
              <w:fldChar w:fldCharType="end"/>
            </w:r>
          </w:hyperlink>
        </w:p>
        <w:p w14:paraId="59DBD921" w14:textId="77777777" w:rsidR="004C6A1A" w:rsidRDefault="00000000">
          <w:r>
            <w:fldChar w:fldCharType="end"/>
          </w:r>
        </w:p>
      </w:sdtContent>
    </w:sdt>
    <w:p w14:paraId="6225B31C" w14:textId="77777777" w:rsidR="004C6A1A" w:rsidRDefault="00000000">
      <w:r>
        <w:br w:type="page"/>
      </w:r>
    </w:p>
    <w:p w14:paraId="5B551721" w14:textId="77777777" w:rsidR="004C6A1A" w:rsidRDefault="00000000">
      <w:pPr>
        <w:pStyle w:val="Heading1"/>
      </w:pPr>
      <w:bookmarkStart w:id="5" w:name="_Toc219529098"/>
      <w:r>
        <w:lastRenderedPageBreak/>
        <w:t>1. Background</w:t>
      </w:r>
      <w:bookmarkEnd w:id="5"/>
    </w:p>
    <w:p w14:paraId="6A6544A6" w14:textId="77777777" w:rsidR="004C6A1A" w:rsidRDefault="00000000">
      <w:pPr>
        <w:spacing w:after="200"/>
        <w:jc w:val="both"/>
      </w:pPr>
      <w:r>
        <w:t>Indonesia stands at a defining moment in its digital health journey. With a projected market value exceeding USD900 billion in 2026—representing a sixfold increase from 2019—the nation has positioned itself as one of Asia's most significant digital health opportunities (Asian Insiders, 2025). Yet market potential alone does not guarantee transformation. The fundamental question facing policymakers, healthcare leaders, and innovators is not whether digital health will reshape Indonesia's healthcare system, but whether this transformation will deliver equitable, accessible, and high-quality care for all 284 million Indonesians.</w:t>
      </w:r>
    </w:p>
    <w:p w14:paraId="4A077137" w14:textId="159B6249" w:rsidR="004C6A1A" w:rsidRDefault="00000000">
      <w:pPr>
        <w:spacing w:after="200"/>
        <w:jc w:val="both"/>
      </w:pPr>
      <w:r>
        <w:t>Having served as Chairman of the SATUSEHAT Technical Working Group since its inception, I have witnessed firsthand the extraordinary progress and persistent challenges that characterize this ecosystem. The journey from 16 integrated facilities in 2022 to over 34,000 facilities today demonstrates unprecedented momentum (Ministry of Health Indonesia, 2024). However, the December 2024 data submission decline—from 58% compliance at 50% threshold to substantially lower rates at 100% threshold—reveals the "last mile" implementation challenge that will define 2026 priorities (</w:t>
      </w:r>
      <w:r w:rsidR="003A4852" w:rsidRPr="003A4852">
        <w:t>Zamroni</w:t>
      </w:r>
      <w:r w:rsidR="003A4852">
        <w:t xml:space="preserve"> </w:t>
      </w:r>
      <w:r w:rsidR="003A4852" w:rsidRPr="003A4852">
        <w:t xml:space="preserve">&amp; </w:t>
      </w:r>
      <w:proofErr w:type="spellStart"/>
      <w:r w:rsidR="003A4852" w:rsidRPr="003A4852">
        <w:t>Sulistiadi</w:t>
      </w:r>
      <w:proofErr w:type="spellEnd"/>
      <w:r>
        <w:t>, 2024).</w:t>
      </w:r>
    </w:p>
    <w:p w14:paraId="1A8F2DD0" w14:textId="77777777" w:rsidR="004C6A1A" w:rsidRDefault="00000000">
      <w:pPr>
        <w:spacing w:after="200"/>
        <w:jc w:val="both"/>
      </w:pPr>
      <w:r>
        <w:t>The convergence of three critical developments creates a unique window for transformative progress: (1) the Omnibus Health Law and Government Regulation 28 providing comprehensive legal frameworks, (2) the Personal Data Protection Law compliance deadline establishing data governance standards, and (3) the 2025-2029 Ministry Strategic Plan allocating Rp9.7 trillion (USD592 million) for digital health quick-wins (Ministry of Health Indonesia, 2025).</w:t>
      </w:r>
    </w:p>
    <w:p w14:paraId="01DD4E72" w14:textId="77777777" w:rsidR="004C6A1A" w:rsidRDefault="00000000">
      <w:pPr>
        <w:pStyle w:val="Heading2"/>
        <w:spacing w:before="300" w:after="200"/>
      </w:pPr>
      <w:bookmarkStart w:id="6" w:name="_Toc219529099"/>
      <w:r>
        <w:t>Key Development Indicators</w:t>
      </w:r>
      <w:bookmarkEnd w:id="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23"/>
        <w:gridCol w:w="2995"/>
        <w:gridCol w:w="3006"/>
      </w:tblGrid>
      <w:tr w:rsidR="004C6A1A" w14:paraId="5F09187D"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00205B"/>
          </w:tcPr>
          <w:p w14:paraId="221722A3" w14:textId="77777777" w:rsidR="004C6A1A" w:rsidRDefault="00000000">
            <w:pPr>
              <w:jc w:val="center"/>
            </w:pPr>
            <w:r>
              <w:rPr>
                <w:b/>
                <w:bCs/>
                <w:color w:val="FFFFFF"/>
              </w:rPr>
              <w:t>Indicator</w:t>
            </w:r>
          </w:p>
        </w:tc>
        <w:tc>
          <w:tcPr>
            <w:tcW w:w="3120" w:type="dxa"/>
            <w:tcBorders>
              <w:top w:val="single" w:sz="1" w:space="0" w:color="CCCCCC"/>
              <w:left w:val="single" w:sz="1" w:space="0" w:color="CCCCCC"/>
              <w:bottom w:val="single" w:sz="1" w:space="0" w:color="CCCCCC"/>
              <w:right w:val="single" w:sz="1" w:space="0" w:color="CCCCCC"/>
            </w:tcBorders>
            <w:shd w:val="clear" w:color="auto" w:fill="00205B"/>
          </w:tcPr>
          <w:p w14:paraId="6C989C09" w14:textId="77777777" w:rsidR="004C6A1A" w:rsidRDefault="00000000">
            <w:pPr>
              <w:jc w:val="center"/>
            </w:pPr>
            <w:r>
              <w:rPr>
                <w:b/>
                <w:bCs/>
                <w:color w:val="FFFFFF"/>
              </w:rPr>
              <w:t>Current Status</w:t>
            </w:r>
          </w:p>
        </w:tc>
        <w:tc>
          <w:tcPr>
            <w:tcW w:w="3120" w:type="dxa"/>
            <w:tcBorders>
              <w:top w:val="single" w:sz="1" w:space="0" w:color="CCCCCC"/>
              <w:left w:val="single" w:sz="1" w:space="0" w:color="CCCCCC"/>
              <w:bottom w:val="single" w:sz="1" w:space="0" w:color="CCCCCC"/>
              <w:right w:val="single" w:sz="1" w:space="0" w:color="CCCCCC"/>
            </w:tcBorders>
            <w:shd w:val="clear" w:color="auto" w:fill="00205B"/>
          </w:tcPr>
          <w:p w14:paraId="35A6E76D" w14:textId="77777777" w:rsidR="004C6A1A" w:rsidRDefault="00000000">
            <w:pPr>
              <w:jc w:val="center"/>
            </w:pPr>
            <w:r>
              <w:rPr>
                <w:b/>
                <w:bCs/>
                <w:color w:val="FFFFFF"/>
              </w:rPr>
              <w:t>Source</w:t>
            </w:r>
          </w:p>
        </w:tc>
      </w:tr>
      <w:tr w:rsidR="004C6A1A" w14:paraId="3A12F46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Pr>
          <w:p w14:paraId="7AFD4FB8" w14:textId="77777777" w:rsidR="004C6A1A" w:rsidRDefault="00000000">
            <w:r>
              <w:t>SATUSEHAT Adoption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Pr>
          <w:p w14:paraId="62E83DA7" w14:textId="77777777" w:rsidR="004C6A1A" w:rsidRDefault="00000000">
            <w:r>
              <w:t>34,463 facilities (from 16 in 2022)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Pr>
          <w:p w14:paraId="02921A98" w14:textId="77777777" w:rsidR="004C6A1A" w:rsidRDefault="00000000">
            <w:r>
              <w:rPr>
                <w:sz w:val="20"/>
                <w:szCs w:val="20"/>
              </w:rPr>
              <w:t>MOH Indonesia, 2024</w:t>
            </w:r>
          </w:p>
        </w:tc>
      </w:tr>
      <w:tr w:rsidR="004C6A1A" w14:paraId="2F6ACD7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Pr>
          <w:p w14:paraId="04374D06" w14:textId="77777777" w:rsidR="004C6A1A" w:rsidRDefault="00000000">
            <w:r>
              <w:t>Market Growth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Pr>
          <w:p w14:paraId="5892805F" w14:textId="77777777" w:rsidR="004C6A1A" w:rsidRDefault="00000000">
            <w:r>
              <w:t>USD900 billion projected 2026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Pr>
          <w:p w14:paraId="0753A843" w14:textId="77777777" w:rsidR="004C6A1A" w:rsidRDefault="00000000">
            <w:r>
              <w:rPr>
                <w:sz w:val="20"/>
                <w:szCs w:val="20"/>
              </w:rPr>
              <w:t>Asian Insiders, 2025</w:t>
            </w:r>
          </w:p>
        </w:tc>
      </w:tr>
      <w:tr w:rsidR="004C6A1A" w14:paraId="2ACCB4F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Pr>
          <w:p w14:paraId="2F58E768" w14:textId="77777777" w:rsidR="004C6A1A" w:rsidRDefault="00000000">
            <w:r>
              <w:t>Data Submission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Pr>
          <w:p w14:paraId="00B25BD3" w14:textId="77777777" w:rsidR="004C6A1A" w:rsidRDefault="00000000">
            <w:r>
              <w:t>58% at 50% threshold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Pr>
          <w:p w14:paraId="5579555D" w14:textId="6A3EB1BA" w:rsidR="004C6A1A" w:rsidRDefault="003A4852">
            <w:r w:rsidRPr="003A4852">
              <w:rPr>
                <w:sz w:val="20"/>
                <w:szCs w:val="20"/>
              </w:rPr>
              <w:t xml:space="preserve">Zamroni &amp; </w:t>
            </w:r>
            <w:proofErr w:type="spellStart"/>
            <w:r w:rsidRPr="003A4852">
              <w:rPr>
                <w:sz w:val="20"/>
                <w:szCs w:val="20"/>
              </w:rPr>
              <w:t>Sulistiadi</w:t>
            </w:r>
            <w:proofErr w:type="spellEnd"/>
            <w:r w:rsidRPr="003A4852">
              <w:rPr>
                <w:sz w:val="20"/>
                <w:szCs w:val="20"/>
              </w:rPr>
              <w:t>, 2024</w:t>
            </w:r>
          </w:p>
        </w:tc>
      </w:tr>
      <w:tr w:rsidR="004C6A1A" w14:paraId="1962035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Pr>
          <w:p w14:paraId="0A47476B" w14:textId="77777777" w:rsidR="004C6A1A" w:rsidRDefault="00000000">
            <w:r>
              <w:t>Telemedicine Growth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Pr>
          <w:p w14:paraId="6B8B859F" w14:textId="77777777" w:rsidR="004C6A1A" w:rsidRDefault="00000000">
            <w:r>
              <w:t>28% CAGR through 2030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Pr>
          <w:p w14:paraId="629215FA" w14:textId="77777777" w:rsidR="004C6A1A" w:rsidRDefault="00000000">
            <w:r>
              <w:rPr>
                <w:sz w:val="20"/>
                <w:szCs w:val="20"/>
              </w:rPr>
              <w:t>Mordor Intelligence, 2025</w:t>
            </w:r>
          </w:p>
        </w:tc>
      </w:tr>
    </w:tbl>
    <w:p w14:paraId="6027138B" w14:textId="77777777" w:rsidR="004C6A1A" w:rsidRDefault="00000000">
      <w:r>
        <w:br w:type="page"/>
      </w:r>
    </w:p>
    <w:p w14:paraId="5625ADC3" w14:textId="77777777" w:rsidR="004C6A1A" w:rsidRDefault="00000000">
      <w:pPr>
        <w:pStyle w:val="Heading1"/>
      </w:pPr>
      <w:bookmarkStart w:id="7" w:name="_Toc219529100"/>
      <w:r>
        <w:lastRenderedPageBreak/>
        <w:t>2. Current Context and Challenges</w:t>
      </w:r>
      <w:bookmarkEnd w:id="7"/>
    </w:p>
    <w:p w14:paraId="7E87EBC0" w14:textId="77777777" w:rsidR="004C6A1A" w:rsidRDefault="00000000">
      <w:pPr>
        <w:spacing w:after="200"/>
        <w:jc w:val="both"/>
      </w:pPr>
      <w:r>
        <w:t>Indonesia's digital health ecosystem in early 2026 presents a paradox of extraordinary progress and persistent gaps. The policy foundation is unprecedented: the Omnibus Health Law enacted in 2023 reformed 11 existing health laws, permanently authorizing telemedicine and establishing clear frameworks for AI deployment in healthcare (Baker McKenzie, 2024). Government Regulation 28, with 1,172 detailed articles, provides specific implementation guidance that substantially exceeds previous regulatory clarity (Baker McKenzie, 2024).</w:t>
      </w:r>
    </w:p>
    <w:p w14:paraId="3F6C23C1" w14:textId="77777777" w:rsidR="004C6A1A" w:rsidRDefault="00000000">
      <w:pPr>
        <w:pStyle w:val="Heading2"/>
        <w:spacing w:before="300" w:after="200"/>
      </w:pPr>
      <w:bookmarkStart w:id="8" w:name="_Toc219529101"/>
      <w:r>
        <w:t>Critical Implementation Challenges</w:t>
      </w:r>
      <w:bookmarkEnd w:id="8"/>
    </w:p>
    <w:p w14:paraId="32A47875" w14:textId="77777777" w:rsidR="004C6A1A" w:rsidRDefault="00000000">
      <w:pPr>
        <w:shd w:val="clear" w:color="auto" w:fill="FFF4E6"/>
        <w:spacing w:before="200" w:after="200"/>
        <w:ind w:left="360" w:right="360"/>
      </w:pPr>
      <w:r>
        <w:rPr>
          <w:color w:val="8B4513"/>
        </w:rPr>
        <w:t>The 2.73 out of 5.00 national digital health readiness score indicates substantial preparation gaps. Without decisive action in 2026, Indonesia risks creating a two-tiered system where sophisticated urban facilities benefit from digital transformation while rural and remote populations fall further behind.</w:t>
      </w:r>
    </w:p>
    <w:p w14:paraId="6AADF612" w14:textId="77777777" w:rsidR="004C6A1A" w:rsidRDefault="00000000">
      <w:pPr>
        <w:pStyle w:val="Heading3"/>
        <w:spacing w:before="200" w:after="100"/>
      </w:pPr>
      <w:bookmarkStart w:id="9" w:name="_Toc219529102"/>
      <w:r>
        <w:t>Infrastructure Gap</w:t>
      </w:r>
      <w:bookmarkEnd w:id="9"/>
    </w:p>
    <w:p w14:paraId="2EC5FB03" w14:textId="77777777" w:rsidR="004C6A1A" w:rsidRDefault="00000000">
      <w:pPr>
        <w:spacing w:after="200"/>
        <w:jc w:val="both"/>
      </w:pPr>
      <w:r>
        <w:t>Rural internet penetration at 74% masks extreme variation; urban Puskesmas report 39.42% with adequate connectivity versus rural facilities with substantially lower rates (JMIR Medical Informatics, 2025). This digital divide threatens to undermine universal health coverage objectives.</w:t>
      </w:r>
    </w:p>
    <w:p w14:paraId="7C3B8032" w14:textId="77777777" w:rsidR="004C6A1A" w:rsidRDefault="00000000">
      <w:pPr>
        <w:pStyle w:val="Heading3"/>
        <w:spacing w:before="200" w:after="100"/>
      </w:pPr>
      <w:bookmarkStart w:id="10" w:name="_Toc219529103"/>
      <w:r>
        <w:t>Regulatory Uncertainty</w:t>
      </w:r>
      <w:bookmarkEnd w:id="10"/>
    </w:p>
    <w:p w14:paraId="11B203C4" w14:textId="77777777" w:rsidR="004C6A1A" w:rsidRDefault="00000000">
      <w:pPr>
        <w:spacing w:after="200"/>
        <w:jc w:val="both"/>
      </w:pPr>
      <w:r>
        <w:t>The Personal Data Protection Law compliance deadline of October 2024 passed, yet Data Protection Authority establishment remains pending, creating regulatory uncertainty for healthcare providers and technology companies (Chambers Practice Guidelines, 2025).</w:t>
      </w:r>
    </w:p>
    <w:p w14:paraId="75472495" w14:textId="77777777" w:rsidR="004C6A1A" w:rsidRDefault="00000000">
      <w:pPr>
        <w:pStyle w:val="Heading3"/>
        <w:spacing w:before="200" w:after="100"/>
      </w:pPr>
      <w:bookmarkStart w:id="11" w:name="_Toc219529104"/>
      <w:r>
        <w:t>Awareness Deficit</w:t>
      </w:r>
      <w:bookmarkEnd w:id="11"/>
    </w:p>
    <w:p w14:paraId="455352AD" w14:textId="77777777" w:rsidR="004C6A1A" w:rsidRDefault="00000000">
      <w:pPr>
        <w:spacing w:after="200"/>
        <w:jc w:val="both"/>
      </w:pPr>
      <w:r>
        <w:t>Fifty-eight percent of Indonesia's population remains unaware of telemedicine services (Asian Insiders, 2025). This awareness gap represents a fundamental barrier to adoption, particularly in rural areas where potential benefits are greatest.</w:t>
      </w:r>
    </w:p>
    <w:p w14:paraId="28979BED" w14:textId="77777777" w:rsidR="004C6A1A" w:rsidRDefault="00000000">
      <w:r>
        <w:br w:type="page"/>
      </w:r>
    </w:p>
    <w:p w14:paraId="5B45AE36" w14:textId="77777777" w:rsidR="004C6A1A" w:rsidRDefault="00000000">
      <w:pPr>
        <w:pStyle w:val="Heading1"/>
      </w:pPr>
      <w:bookmarkStart w:id="12" w:name="_Toc219529105"/>
      <w:r>
        <w:lastRenderedPageBreak/>
        <w:t>3. Strategic Analysis and Evidence</w:t>
      </w:r>
      <w:bookmarkEnd w:id="12"/>
    </w:p>
    <w:p w14:paraId="1B3922AA" w14:textId="77777777" w:rsidR="004C6A1A" w:rsidRDefault="00000000">
      <w:pPr>
        <w:pStyle w:val="Heading2"/>
      </w:pPr>
      <w:bookmarkStart w:id="13" w:name="_Toc219529106"/>
      <w:r>
        <w:t>Theme 1: SATUSEHAT Implementation at the Inflection Point</w:t>
      </w:r>
      <w:bookmarkEnd w:id="13"/>
    </w:p>
    <w:p w14:paraId="79F38D73" w14:textId="77777777" w:rsidR="004C6A1A" w:rsidRDefault="00000000">
      <w:pPr>
        <w:spacing w:after="200"/>
        <w:jc w:val="both"/>
      </w:pPr>
      <w:r>
        <w:t>The SATUSEHAT platform has evolved from ambitious concept to operational reality, yet the trajectory from connectivity to meaningful utilization represents the critical challenge for 2026. The submission compliance decline when thresholds increased reveals that sustained support mechanisms—particularly for smaller facilities lacking IT staff, reliable electricity, and adequate bandwidth—must replace mandates if universal integration is to be achieved.</w:t>
      </w:r>
    </w:p>
    <w:p w14:paraId="0F866FBD" w14:textId="77777777" w:rsidR="004C6A1A" w:rsidRDefault="00000000">
      <w:pPr>
        <w:shd w:val="clear" w:color="auto" w:fill="E8F4F8"/>
        <w:spacing w:before="200" w:after="200"/>
        <w:ind w:left="360" w:right="360"/>
      </w:pPr>
      <w:r>
        <w:t>Case Study: SMILE System Success. Operating across 12,000 facilities in 38 provinces, SMILE has tracked distribution of over one billion vaccine doses and 328 million drugs and health commodities over eight years. Key success factors: (1) alignment with facility workflows, (2) investment in training for 88% female health workforce, and (3) incremental expansion building on demonstrated success.</w:t>
      </w:r>
    </w:p>
    <w:p w14:paraId="33795BFC" w14:textId="77777777" w:rsidR="004C6A1A" w:rsidRDefault="00000000">
      <w:pPr>
        <w:pStyle w:val="Heading2"/>
        <w:spacing w:before="300"/>
      </w:pPr>
      <w:bookmarkStart w:id="14" w:name="_Toc219529107"/>
      <w:r>
        <w:t>Theme 2: Regulatory Foundation and Implementation Gaps</w:t>
      </w:r>
      <w:bookmarkEnd w:id="14"/>
    </w:p>
    <w:p w14:paraId="51CAA079" w14:textId="77777777" w:rsidR="004C6A1A" w:rsidRDefault="00000000">
      <w:pPr>
        <w:spacing w:after="200"/>
        <w:jc w:val="both"/>
      </w:pPr>
      <w:r>
        <w:t xml:space="preserve">Indonesia's regulatory framework has undergone comprehensive modernization, yet implementation capacity gaps threaten to undermine policy ambitions. The InterSystems </w:t>
      </w:r>
      <w:proofErr w:type="spellStart"/>
      <w:r>
        <w:t>IntelliCare</w:t>
      </w:r>
      <w:proofErr w:type="spellEnd"/>
      <w:r>
        <w:t xml:space="preserve"> deployment at EMC Healthcare demonstrates Indonesia's emergence as an AI innovation leader—achieving 75% reduction in clicks for laboratory result retrieval, increased data completeness from 68% to 98%, and deployment across seven hospitals within 18 months (InterSystems, 2025).</w:t>
      </w:r>
    </w:p>
    <w:p w14:paraId="657B1833" w14:textId="77777777" w:rsidR="004C6A1A" w:rsidRDefault="00000000">
      <w:pPr>
        <w:shd w:val="clear" w:color="auto" w:fill="E8F4F8"/>
        <w:spacing w:before="200" w:after="200"/>
        <w:ind w:left="360" w:right="360"/>
      </w:pPr>
      <w:r>
        <w:t>Innovation Challenge: Indonesia hosts only 25 AI startups compared to Singapore's nearly 300—a 12-fold disparity revealing that regulatory authorization alone does not create innovation ecosystems. The absence of the mandated Data Protection Authority two years after the PDP Law enactment exemplifies the implementation gap.</w:t>
      </w:r>
    </w:p>
    <w:p w14:paraId="3E5C38FD" w14:textId="77777777" w:rsidR="004C6A1A" w:rsidRDefault="00000000">
      <w:pPr>
        <w:pStyle w:val="Heading2"/>
        <w:spacing w:before="300"/>
      </w:pPr>
      <w:bookmarkStart w:id="15" w:name="_Toc219529108"/>
      <w:r>
        <w:t>Theme 3: Market Dynamics and Investment Patterns</w:t>
      </w:r>
      <w:bookmarkEnd w:id="15"/>
    </w:p>
    <w:p w14:paraId="7303214B" w14:textId="77777777" w:rsidR="004C6A1A" w:rsidRDefault="00000000">
      <w:pPr>
        <w:spacing w:after="200"/>
        <w:jc w:val="both"/>
      </w:pPr>
      <w:r>
        <w:t xml:space="preserve">Indonesia's digital health market demonstrates extraordinary growth potential alongside concerning investment disparities relative to market size. The </w:t>
      </w:r>
      <w:proofErr w:type="spellStart"/>
      <w:r>
        <w:t>Halodoc</w:t>
      </w:r>
      <w:proofErr w:type="spellEnd"/>
      <w:r>
        <w:t xml:space="preserve"> versus Mobile JKN contrast reveals that private sector flexibility, consumer marketing, and user-</w:t>
      </w:r>
      <w:proofErr w:type="spellStart"/>
      <w:r>
        <w:t>centered</w:t>
      </w:r>
      <w:proofErr w:type="spellEnd"/>
      <w:r>
        <w:t xml:space="preserve"> design drive adoption beyond government-initiated systems. However, the 58% population unaware of telemedicine services indicates that market-led approaches alone will not achieve universal access.</w:t>
      </w:r>
    </w:p>
    <w:p w14:paraId="5A211CDA" w14:textId="77777777" w:rsidR="004C6A1A" w:rsidRDefault="00000000">
      <w:r>
        <w:br w:type="page"/>
      </w:r>
    </w:p>
    <w:p w14:paraId="435CB288" w14:textId="77777777" w:rsidR="004C6A1A" w:rsidRDefault="00000000">
      <w:pPr>
        <w:pStyle w:val="Heading1"/>
      </w:pPr>
      <w:bookmarkStart w:id="16" w:name="_Toc219529109"/>
      <w:r>
        <w:lastRenderedPageBreak/>
        <w:t>4. Strategic Implications</w:t>
      </w:r>
      <w:bookmarkEnd w:id="16"/>
    </w:p>
    <w:p w14:paraId="5639F55B" w14:textId="77777777" w:rsidR="004C6A1A" w:rsidRDefault="00000000">
      <w:pPr>
        <w:pStyle w:val="Heading2"/>
      </w:pPr>
      <w:bookmarkStart w:id="17" w:name="_Toc219529110"/>
      <w:r>
        <w:t>For Government Digital Health Transformation Leaders</w:t>
      </w:r>
      <w:bookmarkEnd w:id="17"/>
    </w:p>
    <w:p w14:paraId="088677C2" w14:textId="77777777" w:rsidR="004C6A1A" w:rsidRDefault="00000000">
      <w:pPr>
        <w:pStyle w:val="ListParagraph"/>
        <w:numPr>
          <w:ilvl w:val="0"/>
          <w:numId w:val="3"/>
        </w:numPr>
      </w:pPr>
      <w:r>
        <w:t>Implementation Support Scale-Up: The 58% to near-0% compliance decline reveals that mandates without support mechanisms fail. Targeted technical assistance, equipment provision, and workforce training for smaller facilities must replace purely compliance-oriented approaches.</w:t>
      </w:r>
    </w:p>
    <w:p w14:paraId="29ACFCD5" w14:textId="77777777" w:rsidR="004C6A1A" w:rsidRDefault="00000000">
      <w:pPr>
        <w:pStyle w:val="ListParagraph"/>
        <w:numPr>
          <w:ilvl w:val="0"/>
          <w:numId w:val="3"/>
        </w:numPr>
      </w:pPr>
      <w:r>
        <w:t>Data Protection Authority Establishment: Two-year gap between PDP Law compliance deadline and authority establishment creates unacceptable regulatory uncertainty. Expediting establishment with adequate enforcement capacity is critical.</w:t>
      </w:r>
    </w:p>
    <w:p w14:paraId="6C6C496C" w14:textId="77777777" w:rsidR="004C6A1A" w:rsidRDefault="00000000">
      <w:pPr>
        <w:pStyle w:val="ListParagraph"/>
        <w:numPr>
          <w:ilvl w:val="0"/>
          <w:numId w:val="3"/>
        </w:numPr>
      </w:pPr>
      <w:r>
        <w:t>Facility-to-Facility Telemedicine Investment: The 101 primary care facilities and 106 hospitals program launching in early 2026 represents strategic shift toward specialist-to-primary-care consultation models.</w:t>
      </w:r>
    </w:p>
    <w:p w14:paraId="1149B078" w14:textId="77777777" w:rsidR="004C6A1A" w:rsidRDefault="00000000">
      <w:pPr>
        <w:pStyle w:val="ListParagraph"/>
        <w:numPr>
          <w:ilvl w:val="0"/>
          <w:numId w:val="3"/>
        </w:numPr>
      </w:pPr>
      <w:r>
        <w:t>Eastern Indonesia Connectivity Priority: Satellite backhaul deployment providing 30 megabits per second throughput and connectivity subsidies justify targeted infrastructure investment.</w:t>
      </w:r>
    </w:p>
    <w:p w14:paraId="5303A536" w14:textId="77777777" w:rsidR="004C6A1A" w:rsidRDefault="00000000">
      <w:pPr>
        <w:pStyle w:val="Heading2"/>
        <w:spacing w:before="300"/>
      </w:pPr>
      <w:bookmarkStart w:id="18" w:name="_Toc219529111"/>
      <w:r>
        <w:t xml:space="preserve">For </w:t>
      </w:r>
      <w:proofErr w:type="spellStart"/>
      <w:r>
        <w:t>Healthtech</w:t>
      </w:r>
      <w:proofErr w:type="spellEnd"/>
      <w:r>
        <w:t xml:space="preserve"> Innovation Companies</w:t>
      </w:r>
      <w:bookmarkEnd w:id="18"/>
    </w:p>
    <w:p w14:paraId="4DE5FC9B" w14:textId="77777777" w:rsidR="004C6A1A" w:rsidRDefault="00000000">
      <w:pPr>
        <w:pStyle w:val="ListParagraph"/>
        <w:numPr>
          <w:ilvl w:val="0"/>
          <w:numId w:val="4"/>
        </w:numPr>
      </w:pPr>
      <w:r>
        <w:t>SATUSEHAT Integration as Competitive Requirement: Integration capability with SATUSEHAT, compliance with Personal Data Protection Act, and alignment with AI ethics guidelines represent decisive competitive criteria.</w:t>
      </w:r>
    </w:p>
    <w:p w14:paraId="0B18A70B" w14:textId="77777777" w:rsidR="004C6A1A" w:rsidRDefault="00000000">
      <w:pPr>
        <w:pStyle w:val="ListParagraph"/>
        <w:numPr>
          <w:ilvl w:val="0"/>
          <w:numId w:val="4"/>
        </w:numPr>
      </w:pPr>
      <w:r>
        <w:t>Underserved Market Opportunities: Companies deploying low-bandwidth applications adapted to local languages, incorporating offline functionality, and investing in consumer education can capture first-mover advantages.</w:t>
      </w:r>
    </w:p>
    <w:p w14:paraId="4BCD1794" w14:textId="77777777" w:rsidR="004C6A1A" w:rsidRDefault="00000000">
      <w:pPr>
        <w:pStyle w:val="ListParagraph"/>
        <w:numPr>
          <w:ilvl w:val="0"/>
          <w:numId w:val="4"/>
        </w:numPr>
      </w:pPr>
      <w:r>
        <w:t>AI-Enabled Solution Deployment: Healthcare-related AI solutions could contribute upwards of USD500 million to Indonesia's economy by 2030. Opportunities exist in medical imaging, infectious disease surveillance, and clinical decision support.</w:t>
      </w:r>
    </w:p>
    <w:p w14:paraId="160E66A7" w14:textId="77777777" w:rsidR="004C6A1A" w:rsidRDefault="00000000">
      <w:pPr>
        <w:pStyle w:val="ListParagraph"/>
        <w:numPr>
          <w:ilvl w:val="0"/>
          <w:numId w:val="4"/>
        </w:numPr>
      </w:pPr>
      <w:r>
        <w:t>Regulatory Sandbox Participation: Early engagement with sandbox processes enables faster market entry and regulatory clarity.</w:t>
      </w:r>
    </w:p>
    <w:p w14:paraId="4184DEFF" w14:textId="77777777" w:rsidR="004C6A1A" w:rsidRDefault="00000000">
      <w:r>
        <w:br w:type="page"/>
      </w:r>
    </w:p>
    <w:p w14:paraId="216BBDAC" w14:textId="77777777" w:rsidR="004C6A1A" w:rsidRDefault="00000000">
      <w:pPr>
        <w:pStyle w:val="Heading1"/>
      </w:pPr>
      <w:bookmarkStart w:id="19" w:name="_Toc219529112"/>
      <w:r>
        <w:lastRenderedPageBreak/>
        <w:t>5. Recommendations and Implementation Pathway</w:t>
      </w:r>
      <w:bookmarkEnd w:id="19"/>
    </w:p>
    <w:p w14:paraId="3D582B94" w14:textId="77777777" w:rsidR="004C6A1A" w:rsidRDefault="00000000">
      <w:pPr>
        <w:pStyle w:val="Heading2"/>
      </w:pPr>
      <w:bookmarkStart w:id="20" w:name="_Toc219529113"/>
      <w:r>
        <w:t>Short-Term Actions (0-6 months)</w:t>
      </w:r>
      <w:bookmarkEnd w:id="20"/>
    </w:p>
    <w:p w14:paraId="7A8C9A2A" w14:textId="77777777" w:rsidR="004C6A1A" w:rsidRDefault="00000000">
      <w:pPr>
        <w:pStyle w:val="ListParagraph"/>
        <w:numPr>
          <w:ilvl w:val="0"/>
          <w:numId w:val="5"/>
        </w:numPr>
      </w:pPr>
      <w:r>
        <w:t>Establish Targeted Implementation Support Mechanisms for SATUSEHAT Compliance: Deploy regional technical assistance teams, provide equipment grants for connectivity-challenged facilities, develop simplified submission interfaces with offline capabilities, create peer learning networks.</w:t>
      </w:r>
    </w:p>
    <w:p w14:paraId="7F032F72" w14:textId="77777777" w:rsidR="004C6A1A" w:rsidRDefault="00000000">
      <w:pPr>
        <w:pStyle w:val="ListParagraph"/>
        <w:numPr>
          <w:ilvl w:val="0"/>
          <w:numId w:val="5"/>
        </w:numPr>
      </w:pPr>
      <w:r>
        <w:t>Expedite Data Protection Authority Establishment: Prioritize healthcare expertise within authority composition, develop sector-specific implementation guidance, establish graduated enforcement approach.</w:t>
      </w:r>
    </w:p>
    <w:p w14:paraId="384021B9" w14:textId="77777777" w:rsidR="004C6A1A" w:rsidRDefault="00000000">
      <w:pPr>
        <w:pStyle w:val="ListParagraph"/>
        <w:numPr>
          <w:ilvl w:val="0"/>
          <w:numId w:val="5"/>
        </w:numPr>
      </w:pPr>
      <w:r>
        <w:t>Launch Digital Literacy and Telemedicine Awareness Campaign: Develop multi-channel public education leveraging community health workers and religious leaders, create demonstration facilities, partner with successful platforms.</w:t>
      </w:r>
    </w:p>
    <w:p w14:paraId="0F5A930C" w14:textId="77777777" w:rsidR="004C6A1A" w:rsidRDefault="00000000">
      <w:pPr>
        <w:pStyle w:val="Heading2"/>
        <w:spacing w:before="300"/>
      </w:pPr>
      <w:bookmarkStart w:id="21" w:name="_Toc219529114"/>
      <w:r>
        <w:t>Medium-Term Considerations (6-18 months)</w:t>
      </w:r>
      <w:bookmarkEnd w:id="21"/>
    </w:p>
    <w:p w14:paraId="20C7E8DC" w14:textId="77777777" w:rsidR="004C6A1A" w:rsidRDefault="00000000">
      <w:pPr>
        <w:pStyle w:val="ListParagraph"/>
        <w:numPr>
          <w:ilvl w:val="0"/>
          <w:numId w:val="5"/>
        </w:numPr>
      </w:pPr>
      <w:r>
        <w:t>Develop National Health AI Ethics Framework: Convene expert committee drawing on WHO AI ethics guidance, develop sector-specific use case guidelines, establish regulatory sandbox processes.</w:t>
      </w:r>
    </w:p>
    <w:p w14:paraId="303D0DEC" w14:textId="77777777" w:rsidR="004C6A1A" w:rsidRDefault="00000000">
      <w:pPr>
        <w:pStyle w:val="ListParagraph"/>
        <w:numPr>
          <w:ilvl w:val="0"/>
          <w:numId w:val="5"/>
        </w:numPr>
      </w:pPr>
      <w:r>
        <w:t>Invest in Eastern Indonesia Connectivity: Accelerate satellite backhaul deployment, expand connectivity subsidy schemes, develop low-bandwidth application standards, create digital workforce development programs.</w:t>
      </w:r>
    </w:p>
    <w:p w14:paraId="314BF3F2" w14:textId="77777777" w:rsidR="004C6A1A" w:rsidRDefault="00000000">
      <w:pPr>
        <w:pStyle w:val="ListParagraph"/>
        <w:numPr>
          <w:ilvl w:val="0"/>
          <w:numId w:val="5"/>
        </w:numPr>
      </w:pPr>
      <w:r>
        <w:t>Scale Facility-to-Facility Telemedicine: Develop evidence-based expansion criteria, create standardized reimbursement frameworks, invest in specialist capacity building, develop quality assurance frameworks.</w:t>
      </w:r>
    </w:p>
    <w:p w14:paraId="49DA6341" w14:textId="77777777" w:rsidR="004C6A1A" w:rsidRDefault="00000000">
      <w:r>
        <w:br w:type="page"/>
      </w:r>
    </w:p>
    <w:p w14:paraId="5A1E945F" w14:textId="77777777" w:rsidR="004C6A1A" w:rsidRDefault="00000000">
      <w:pPr>
        <w:pStyle w:val="Heading1"/>
      </w:pPr>
      <w:bookmarkStart w:id="22" w:name="_Toc219529115"/>
      <w:r>
        <w:lastRenderedPageBreak/>
        <w:t>6. Long-Term Vision and Critical Success Factors</w:t>
      </w:r>
      <w:bookmarkEnd w:id="22"/>
    </w:p>
    <w:p w14:paraId="622EDF98" w14:textId="77777777" w:rsidR="004C6A1A" w:rsidRDefault="00000000">
      <w:pPr>
        <w:spacing w:after="200"/>
        <w:jc w:val="both"/>
      </w:pPr>
      <w:r>
        <w:t xml:space="preserve">Indonesia emerges as Southeast Asia's digital health leader by 2030, with SATUSEHAT serving as the regional model for national health information exchange, Indonesian </w:t>
      </w:r>
      <w:proofErr w:type="spellStart"/>
      <w:r>
        <w:t>healthtech</w:t>
      </w:r>
      <w:proofErr w:type="spellEnd"/>
      <w:r>
        <w:t xml:space="preserve"> companies attracting regional expansion, and AI-enabled healthcare solutions demonstrating that middle-income countries can leapfrog high-income country innovation through targeted digital health investment.</w:t>
      </w:r>
    </w:p>
    <w:p w14:paraId="3B44B751" w14:textId="77777777" w:rsidR="004C6A1A" w:rsidRDefault="00000000">
      <w:pPr>
        <w:shd w:val="clear" w:color="auto" w:fill="D5E8F0"/>
        <w:spacing w:before="200" w:after="200"/>
        <w:ind w:left="360" w:right="360"/>
      </w:pPr>
      <w:r>
        <w:rPr>
          <w:b/>
          <w:bCs/>
        </w:rPr>
        <w:t>The defining characteristic of this transformed ecosystem is equitable access—rural communities in Papua and Maluku benefit from specialist consultation through facility-to-facility telemedicine, AI-enabled diagnostic support addresses specialist shortages, and community health workers armed with digital decision support tools deliver higher-quality care.</w:t>
      </w:r>
    </w:p>
    <w:p w14:paraId="563963E2" w14:textId="77777777" w:rsidR="004C6A1A" w:rsidRDefault="00000000">
      <w:pPr>
        <w:pStyle w:val="Heading2"/>
      </w:pPr>
      <w:bookmarkStart w:id="23" w:name="_Toc219529116"/>
      <w:r>
        <w:t>Critical Success Factors</w:t>
      </w:r>
      <w:bookmarkEnd w:id="23"/>
    </w:p>
    <w:p w14:paraId="72B9BD8D" w14:textId="77777777" w:rsidR="004C6A1A" w:rsidRDefault="00000000">
      <w:pPr>
        <w:pStyle w:val="ListParagraph"/>
        <w:numPr>
          <w:ilvl w:val="0"/>
          <w:numId w:val="2"/>
        </w:numPr>
      </w:pPr>
      <w:r>
        <w:t>Sustained political commitment across election cycles and administration changes</w:t>
      </w:r>
    </w:p>
    <w:p w14:paraId="5AA9AC01" w14:textId="77777777" w:rsidR="004C6A1A" w:rsidRDefault="00000000">
      <w:pPr>
        <w:pStyle w:val="ListParagraph"/>
        <w:numPr>
          <w:ilvl w:val="0"/>
          <w:numId w:val="2"/>
        </w:numPr>
      </w:pPr>
      <w:r>
        <w:t>Balance between innovation acceleration and patient safety protection</w:t>
      </w:r>
    </w:p>
    <w:p w14:paraId="3A387DDA" w14:textId="77777777" w:rsidR="004C6A1A" w:rsidRDefault="00000000">
      <w:pPr>
        <w:pStyle w:val="ListParagraph"/>
        <w:numPr>
          <w:ilvl w:val="0"/>
          <w:numId w:val="2"/>
        </w:numPr>
      </w:pPr>
      <w:r>
        <w:t>Integration with education systems producing health informatics professionals</w:t>
      </w:r>
    </w:p>
    <w:p w14:paraId="2440E5B8" w14:textId="77777777" w:rsidR="004C6A1A" w:rsidRDefault="00000000">
      <w:pPr>
        <w:pStyle w:val="ListParagraph"/>
        <w:numPr>
          <w:ilvl w:val="0"/>
          <w:numId w:val="2"/>
        </w:numPr>
      </w:pPr>
      <w:r>
        <w:t>International partnerships emphasizing technology transfer rather than dependency</w:t>
      </w:r>
    </w:p>
    <w:p w14:paraId="68B98F4B" w14:textId="77777777" w:rsidR="004C6A1A" w:rsidRDefault="00000000">
      <w:pPr>
        <w:pStyle w:val="ListParagraph"/>
        <w:numPr>
          <w:ilvl w:val="0"/>
          <w:numId w:val="2"/>
        </w:numPr>
      </w:pPr>
      <w:r>
        <w:t>Private sector innovation leverage combined with public sector equity safeguards</w:t>
      </w:r>
    </w:p>
    <w:p w14:paraId="31BB2D14" w14:textId="77777777" w:rsidR="004C6A1A" w:rsidRDefault="00000000">
      <w:r>
        <w:br w:type="page"/>
      </w:r>
    </w:p>
    <w:p w14:paraId="74BD2344" w14:textId="77777777" w:rsidR="004C6A1A" w:rsidRDefault="00000000">
      <w:pPr>
        <w:pStyle w:val="Heading1"/>
      </w:pPr>
      <w:bookmarkStart w:id="24" w:name="_Toc219529117"/>
      <w:r>
        <w:lastRenderedPageBreak/>
        <w:t>7. Conclusions</w:t>
      </w:r>
      <w:bookmarkEnd w:id="24"/>
    </w:p>
    <w:p w14:paraId="16FEE117" w14:textId="77777777" w:rsidR="004C6A1A" w:rsidRDefault="00000000">
      <w:pPr>
        <w:spacing w:after="200"/>
        <w:jc w:val="both"/>
      </w:pPr>
      <w:r>
        <w:t>Indonesia's digital health transformation in 2026 stands at an inflection point. The policy foundation is unprecedented, the market opportunity is extraordinary, and the progress to date—from 16 to over 34,000 SATUSEHAT-connected facilities—demonstrates that large-scale digital transformation is achievable in the Indonesian context.</w:t>
      </w:r>
    </w:p>
    <w:p w14:paraId="4B0DECB9" w14:textId="77777777" w:rsidR="004C6A1A" w:rsidRDefault="00000000">
      <w:pPr>
        <w:spacing w:after="200"/>
        <w:jc w:val="both"/>
      </w:pPr>
      <w:r>
        <w:t>The decisions made in 2026—regarding implementation support mechanisms, Data Protection Authority establishment, AI ethics frameworks, and investment priorities—will determine whether Indonesia realizes its potential as Southeast Asia's digital health leader or whether promising policy frameworks and market projections fail to translate into equitable healthcare access.</w:t>
      </w:r>
    </w:p>
    <w:p w14:paraId="703F45FA" w14:textId="77777777" w:rsidR="004C6A1A" w:rsidRDefault="00000000">
      <w:pPr>
        <w:spacing w:after="200"/>
        <w:jc w:val="both"/>
      </w:pPr>
      <w:r>
        <w:t>As we navigate this decisive year, let us remain guided by the fundamental principle that digital health is not an end in itself but rather an enabling tool for achieving broader health system objectives: universal health coverage, reduced maternal and infant mortality, controlled communicable and non-communicable disease burden, and ultimately, a healthier, more prosperous Indonesia for all.</w:t>
      </w:r>
    </w:p>
    <w:p w14:paraId="466C80AE" w14:textId="77777777" w:rsidR="004C6A1A" w:rsidRDefault="00000000">
      <w:r>
        <w:br w:type="page"/>
      </w:r>
    </w:p>
    <w:p w14:paraId="4B916C9A" w14:textId="77777777" w:rsidR="004C6A1A" w:rsidRDefault="00000000">
      <w:pPr>
        <w:pStyle w:val="Heading1"/>
      </w:pPr>
      <w:bookmarkStart w:id="25" w:name="_Toc219529118"/>
      <w:r>
        <w:lastRenderedPageBreak/>
        <w:t>References</w:t>
      </w:r>
      <w:bookmarkEnd w:id="25"/>
    </w:p>
    <w:p w14:paraId="25001E2C" w14:textId="77777777" w:rsidR="004C6A1A" w:rsidRDefault="00000000">
      <w:pPr>
        <w:pStyle w:val="Heading2"/>
      </w:pPr>
      <w:bookmarkStart w:id="26" w:name="_Toc219529119"/>
      <w:r>
        <w:t>Government Sources</w:t>
      </w:r>
      <w:bookmarkEnd w:id="26"/>
    </w:p>
    <w:p w14:paraId="109249BD" w14:textId="77777777" w:rsidR="004C6A1A" w:rsidRDefault="00000000">
      <w:pPr>
        <w:spacing w:after="100"/>
      </w:pPr>
      <w:r>
        <w:rPr>
          <w:sz w:val="20"/>
          <w:szCs w:val="20"/>
        </w:rPr>
        <w:t>Antara News. (2026, January). Indonesia allocates 592M for quick-win health programs in 2026. Antara News.</w:t>
      </w:r>
    </w:p>
    <w:p w14:paraId="5723A3A3" w14:textId="77777777" w:rsidR="004C6A1A" w:rsidRDefault="00000000">
      <w:pPr>
        <w:spacing w:after="100"/>
      </w:pPr>
      <w:r>
        <w:rPr>
          <w:sz w:val="20"/>
          <w:szCs w:val="20"/>
        </w:rPr>
        <w:t>Baker McKenzie. (2024). Indonesia government regulation 28 unveiled. Baker McKenzie.</w:t>
      </w:r>
    </w:p>
    <w:p w14:paraId="0D49851A" w14:textId="77777777" w:rsidR="004C6A1A" w:rsidRDefault="00000000">
      <w:pPr>
        <w:spacing w:after="100"/>
      </w:pPr>
      <w:r>
        <w:rPr>
          <w:sz w:val="20"/>
          <w:szCs w:val="20"/>
        </w:rPr>
        <w:t>Chambers Practice Guidelines. (2025). Trends and developments in Indonesia. Chambers Practice Guides.</w:t>
      </w:r>
    </w:p>
    <w:p w14:paraId="5883E49A" w14:textId="77777777" w:rsidR="004C6A1A" w:rsidRDefault="00000000">
      <w:pPr>
        <w:spacing w:after="100"/>
      </w:pPr>
      <w:r>
        <w:rPr>
          <w:sz w:val="20"/>
          <w:szCs w:val="20"/>
        </w:rPr>
        <w:t>InterSystems. (2025, March 18). From screens to patients: How Indonesia's leap into AI-native healthcare earned global recognition. InterSystems.</w:t>
      </w:r>
    </w:p>
    <w:p w14:paraId="56E5BD96" w14:textId="77777777" w:rsidR="004C6A1A" w:rsidRDefault="00000000">
      <w:pPr>
        <w:spacing w:after="100"/>
      </w:pPr>
      <w:r>
        <w:rPr>
          <w:sz w:val="20"/>
          <w:szCs w:val="20"/>
        </w:rPr>
        <w:t>Ministry of Health Indonesia. (2025). Minister of health regulation of the republic of Indonesia number 12 of 2025 concerning the ministry of health strategic plan for 2025-2029. Ministry of Health Indonesia.</w:t>
      </w:r>
    </w:p>
    <w:p w14:paraId="46A714EF" w14:textId="77777777" w:rsidR="004C6A1A" w:rsidRDefault="00000000">
      <w:pPr>
        <w:spacing w:after="100"/>
      </w:pPr>
      <w:r>
        <w:rPr>
          <w:sz w:val="20"/>
          <w:szCs w:val="20"/>
        </w:rPr>
        <w:t xml:space="preserve">Ministry of Health Indonesia. (2024). </w:t>
      </w:r>
      <w:proofErr w:type="spellStart"/>
      <w:r>
        <w:rPr>
          <w:sz w:val="20"/>
          <w:szCs w:val="20"/>
        </w:rPr>
        <w:t>Kemenkes</w:t>
      </w:r>
      <w:proofErr w:type="spellEnd"/>
      <w:r>
        <w:rPr>
          <w:sz w:val="20"/>
          <w:szCs w:val="20"/>
        </w:rPr>
        <w:t xml:space="preserve"> </w:t>
      </w:r>
      <w:proofErr w:type="spellStart"/>
      <w:r>
        <w:rPr>
          <w:sz w:val="20"/>
          <w:szCs w:val="20"/>
        </w:rPr>
        <w:t>integrasikan</w:t>
      </w:r>
      <w:proofErr w:type="spellEnd"/>
      <w:r>
        <w:rPr>
          <w:sz w:val="20"/>
          <w:szCs w:val="20"/>
        </w:rPr>
        <w:t xml:space="preserve"> </w:t>
      </w:r>
      <w:proofErr w:type="spellStart"/>
      <w:r>
        <w:rPr>
          <w:sz w:val="20"/>
          <w:szCs w:val="20"/>
        </w:rPr>
        <w:t>ratusan</w:t>
      </w:r>
      <w:proofErr w:type="spellEnd"/>
      <w:r>
        <w:rPr>
          <w:sz w:val="20"/>
          <w:szCs w:val="20"/>
        </w:rPr>
        <w:t xml:space="preserve"> </w:t>
      </w:r>
      <w:proofErr w:type="spellStart"/>
      <w:r>
        <w:rPr>
          <w:sz w:val="20"/>
          <w:szCs w:val="20"/>
        </w:rPr>
        <w:t>aplikasi</w:t>
      </w:r>
      <w:proofErr w:type="spellEnd"/>
      <w:r>
        <w:rPr>
          <w:sz w:val="20"/>
          <w:szCs w:val="20"/>
        </w:rPr>
        <w:t xml:space="preserve"> </w:t>
      </w:r>
      <w:proofErr w:type="spellStart"/>
      <w:r>
        <w:rPr>
          <w:sz w:val="20"/>
          <w:szCs w:val="20"/>
        </w:rPr>
        <w:t>menuju</w:t>
      </w:r>
      <w:proofErr w:type="spellEnd"/>
      <w:r>
        <w:rPr>
          <w:sz w:val="20"/>
          <w:szCs w:val="20"/>
        </w:rPr>
        <w:t xml:space="preserve"> era </w:t>
      </w:r>
      <w:proofErr w:type="spellStart"/>
      <w:r>
        <w:rPr>
          <w:sz w:val="20"/>
          <w:szCs w:val="20"/>
        </w:rPr>
        <w:t>satusehat</w:t>
      </w:r>
      <w:proofErr w:type="spellEnd"/>
      <w:r>
        <w:rPr>
          <w:sz w:val="20"/>
          <w:szCs w:val="20"/>
        </w:rPr>
        <w:t>. Ministry of Health Indonesia.</w:t>
      </w:r>
    </w:p>
    <w:p w14:paraId="43219932" w14:textId="77777777" w:rsidR="003A4852" w:rsidRDefault="00A73D98">
      <w:pPr>
        <w:spacing w:after="100"/>
        <w:rPr>
          <w:sz w:val="20"/>
          <w:szCs w:val="20"/>
        </w:rPr>
      </w:pPr>
      <w:r w:rsidRPr="00A73D98">
        <w:rPr>
          <w:sz w:val="20"/>
          <w:szCs w:val="20"/>
        </w:rPr>
        <w:t xml:space="preserve">Zamroni, Salma &amp; </w:t>
      </w:r>
      <w:proofErr w:type="spellStart"/>
      <w:r w:rsidRPr="00A73D98">
        <w:rPr>
          <w:sz w:val="20"/>
          <w:szCs w:val="20"/>
        </w:rPr>
        <w:t>Sulistiadi</w:t>
      </w:r>
      <w:proofErr w:type="spellEnd"/>
      <w:r w:rsidRPr="00A73D98">
        <w:rPr>
          <w:sz w:val="20"/>
          <w:szCs w:val="20"/>
        </w:rPr>
        <w:t xml:space="preserve">, </w:t>
      </w:r>
      <w:proofErr w:type="spellStart"/>
      <w:r w:rsidRPr="00A73D98">
        <w:rPr>
          <w:sz w:val="20"/>
          <w:szCs w:val="20"/>
        </w:rPr>
        <w:t>Wachyu</w:t>
      </w:r>
      <w:proofErr w:type="spellEnd"/>
      <w:r w:rsidRPr="00A73D98">
        <w:rPr>
          <w:sz w:val="20"/>
          <w:szCs w:val="20"/>
        </w:rPr>
        <w:t xml:space="preserve">. (2025). </w:t>
      </w:r>
      <w:proofErr w:type="spellStart"/>
      <w:r w:rsidRPr="00A73D98">
        <w:rPr>
          <w:sz w:val="20"/>
          <w:szCs w:val="20"/>
        </w:rPr>
        <w:t>Analisis</w:t>
      </w:r>
      <w:proofErr w:type="spellEnd"/>
      <w:r w:rsidRPr="00A73D98">
        <w:rPr>
          <w:sz w:val="20"/>
          <w:szCs w:val="20"/>
        </w:rPr>
        <w:t xml:space="preserve"> </w:t>
      </w:r>
      <w:proofErr w:type="spellStart"/>
      <w:r w:rsidRPr="00A73D98">
        <w:rPr>
          <w:sz w:val="20"/>
          <w:szCs w:val="20"/>
        </w:rPr>
        <w:t>Implementasi</w:t>
      </w:r>
      <w:proofErr w:type="spellEnd"/>
      <w:r w:rsidRPr="00A73D98">
        <w:rPr>
          <w:sz w:val="20"/>
          <w:szCs w:val="20"/>
        </w:rPr>
        <w:t xml:space="preserve"> SATUSEHAT </w:t>
      </w:r>
      <w:proofErr w:type="spellStart"/>
      <w:r w:rsidRPr="00A73D98">
        <w:rPr>
          <w:sz w:val="20"/>
          <w:szCs w:val="20"/>
        </w:rPr>
        <w:t>sebagai</w:t>
      </w:r>
      <w:proofErr w:type="spellEnd"/>
      <w:r w:rsidRPr="00A73D98">
        <w:rPr>
          <w:sz w:val="20"/>
          <w:szCs w:val="20"/>
        </w:rPr>
        <w:t xml:space="preserve"> Platform Integrasi Data Kesehatan Nasional : Literature Review. </w:t>
      </w:r>
    </w:p>
    <w:p w14:paraId="7408812B" w14:textId="32DC291A" w:rsidR="004C6A1A" w:rsidRDefault="00000000">
      <w:pPr>
        <w:spacing w:after="100"/>
      </w:pPr>
      <w:proofErr w:type="spellStart"/>
      <w:r>
        <w:rPr>
          <w:sz w:val="20"/>
          <w:szCs w:val="20"/>
        </w:rPr>
        <w:t>Tilleke</w:t>
      </w:r>
      <w:proofErr w:type="spellEnd"/>
      <w:r>
        <w:rPr>
          <w:sz w:val="20"/>
          <w:szCs w:val="20"/>
        </w:rPr>
        <w:t xml:space="preserve"> &amp; Company. (2025). Indonesia strengthens guidelines for health supplements containing probiotics. </w:t>
      </w:r>
      <w:proofErr w:type="spellStart"/>
      <w:r>
        <w:rPr>
          <w:sz w:val="20"/>
          <w:szCs w:val="20"/>
        </w:rPr>
        <w:t>Tilleke</w:t>
      </w:r>
      <w:proofErr w:type="spellEnd"/>
      <w:r>
        <w:rPr>
          <w:sz w:val="20"/>
          <w:szCs w:val="20"/>
        </w:rPr>
        <w:t xml:space="preserve"> &amp; Company.</w:t>
      </w:r>
    </w:p>
    <w:p w14:paraId="05504623" w14:textId="77777777" w:rsidR="004C6A1A" w:rsidRDefault="00000000">
      <w:pPr>
        <w:spacing w:after="100"/>
      </w:pPr>
      <w:proofErr w:type="spellStart"/>
      <w:r>
        <w:rPr>
          <w:sz w:val="20"/>
          <w:szCs w:val="20"/>
        </w:rPr>
        <w:t>ThinkWell</w:t>
      </w:r>
      <w:proofErr w:type="spellEnd"/>
      <w:r>
        <w:rPr>
          <w:sz w:val="20"/>
          <w:szCs w:val="20"/>
        </w:rPr>
        <w:t xml:space="preserve"> Global. (2025, March). Telemedicine in Indonesia. </w:t>
      </w:r>
      <w:proofErr w:type="spellStart"/>
      <w:r>
        <w:rPr>
          <w:sz w:val="20"/>
          <w:szCs w:val="20"/>
        </w:rPr>
        <w:t>ThinkWell</w:t>
      </w:r>
      <w:proofErr w:type="spellEnd"/>
      <w:r>
        <w:rPr>
          <w:sz w:val="20"/>
          <w:szCs w:val="20"/>
        </w:rPr>
        <w:t xml:space="preserve"> Global.</w:t>
      </w:r>
    </w:p>
    <w:p w14:paraId="739F5566" w14:textId="77777777" w:rsidR="004C6A1A" w:rsidRDefault="00000000">
      <w:pPr>
        <w:spacing w:after="100"/>
      </w:pPr>
      <w:r>
        <w:rPr>
          <w:sz w:val="20"/>
          <w:szCs w:val="20"/>
        </w:rPr>
        <w:t>USA-ASEAN. (2026). Indonesia allocates 15 billion health budget and fast-tracks 70,000 specialist doctors. USA-ASEAN.</w:t>
      </w:r>
    </w:p>
    <w:p w14:paraId="429C1C19" w14:textId="77777777" w:rsidR="004C6A1A" w:rsidRDefault="00000000">
      <w:pPr>
        <w:spacing w:after="200"/>
      </w:pPr>
      <w:r>
        <w:rPr>
          <w:sz w:val="20"/>
          <w:szCs w:val="20"/>
        </w:rPr>
        <w:t>UNDP Indonesia. (2025). Advancing Indonesia's health equity through GESI-responsive digital health innovation: SMILE experience. United Nations Development Programme.</w:t>
      </w:r>
    </w:p>
    <w:p w14:paraId="79EEB016" w14:textId="77777777" w:rsidR="004C6A1A" w:rsidRDefault="00000000">
      <w:pPr>
        <w:pStyle w:val="Heading2"/>
      </w:pPr>
      <w:bookmarkStart w:id="27" w:name="_Toc219529120"/>
      <w:r>
        <w:t>Academic Publications</w:t>
      </w:r>
      <w:bookmarkEnd w:id="27"/>
    </w:p>
    <w:p w14:paraId="54E6475C" w14:textId="77777777" w:rsidR="004C6A1A" w:rsidRDefault="00000000">
      <w:pPr>
        <w:spacing w:after="100"/>
      </w:pPr>
      <w:r>
        <w:rPr>
          <w:sz w:val="20"/>
          <w:szCs w:val="20"/>
        </w:rPr>
        <w:t>JMIR Medical Informatics. (2025). Health information system utilization across primary care facilities in Indonesia. JMIR Medical Informatics, 23, e68613.</w:t>
      </w:r>
    </w:p>
    <w:p w14:paraId="214C6892" w14:textId="77777777" w:rsidR="004C6A1A" w:rsidRDefault="00000000">
      <w:pPr>
        <w:spacing w:after="200"/>
      </w:pPr>
      <w:r>
        <w:rPr>
          <w:sz w:val="20"/>
          <w:szCs w:val="20"/>
        </w:rPr>
        <w:t>Mordor Intelligence. (2025). Indonesia connected healthcare market. Mordor Intelligence.</w:t>
      </w:r>
    </w:p>
    <w:p w14:paraId="0B545BD8" w14:textId="77777777" w:rsidR="004C6A1A" w:rsidRDefault="00000000">
      <w:pPr>
        <w:pStyle w:val="Heading2"/>
      </w:pPr>
      <w:bookmarkStart w:id="28" w:name="_Toc219529121"/>
      <w:r>
        <w:t>Industry Reports</w:t>
      </w:r>
      <w:bookmarkEnd w:id="28"/>
    </w:p>
    <w:p w14:paraId="3E5426CA" w14:textId="77777777" w:rsidR="004C6A1A" w:rsidRDefault="00000000">
      <w:pPr>
        <w:spacing w:after="100"/>
      </w:pPr>
      <w:r>
        <w:rPr>
          <w:sz w:val="20"/>
          <w:szCs w:val="20"/>
        </w:rPr>
        <w:t>Asian Insiders. (2025, November 18). Growth of Indonesian digital health industry. Asian Insiders.</w:t>
      </w:r>
    </w:p>
    <w:p w14:paraId="3D60EB80" w14:textId="77777777" w:rsidR="004C6A1A" w:rsidRDefault="00000000">
      <w:pPr>
        <w:spacing w:after="100"/>
      </w:pPr>
      <w:r>
        <w:rPr>
          <w:sz w:val="20"/>
          <w:szCs w:val="20"/>
        </w:rPr>
        <w:t xml:space="preserve">McKinsey &amp; Company. (2025, February). </w:t>
      </w:r>
      <w:proofErr w:type="spellStart"/>
      <w:r>
        <w:rPr>
          <w:sz w:val="20"/>
          <w:szCs w:val="20"/>
        </w:rPr>
        <w:t>Halodoc's</w:t>
      </w:r>
      <w:proofErr w:type="spellEnd"/>
      <w:r>
        <w:rPr>
          <w:sz w:val="20"/>
          <w:szCs w:val="20"/>
        </w:rPr>
        <w:t xml:space="preserve"> extension of services to outer-island communities. McKinsey &amp; Company.</w:t>
      </w:r>
    </w:p>
    <w:p w14:paraId="4A37585A" w14:textId="77777777" w:rsidR="004C6A1A" w:rsidRDefault="00000000">
      <w:pPr>
        <w:spacing w:after="200"/>
      </w:pPr>
      <w:r>
        <w:rPr>
          <w:sz w:val="20"/>
          <w:szCs w:val="20"/>
        </w:rPr>
        <w:t>Open Public Health Journal. (2025). Digital health curriculum reform in Indonesia. Open Public Health Journal, 18, e187494.</w:t>
      </w:r>
    </w:p>
    <w:p w14:paraId="48456024" w14:textId="77777777" w:rsidR="004C6A1A" w:rsidRDefault="00000000">
      <w:r>
        <w:br w:type="page"/>
      </w:r>
    </w:p>
    <w:p w14:paraId="2886310D" w14:textId="77777777" w:rsidR="004C6A1A" w:rsidRDefault="00000000">
      <w:pPr>
        <w:pStyle w:val="Heading1"/>
      </w:pPr>
      <w:bookmarkStart w:id="29" w:name="_Toc219529122"/>
      <w:r>
        <w:lastRenderedPageBreak/>
        <w:t>About the Author</w:t>
      </w:r>
      <w:bookmarkEnd w:id="29"/>
    </w:p>
    <w:p w14:paraId="3F148FBF" w14:textId="2FB6014F" w:rsidR="004C6A1A" w:rsidRDefault="00000000">
      <w:pPr>
        <w:spacing w:after="200"/>
      </w:pPr>
      <w:r>
        <w:t>Dr. Ahmad Hidayat, MSc, MBA is a Digital Health Governance &amp; Clinical Research Expert with 30+ years of experience in Indonesia's healthcare ecosystem. He serves as Chairman of the Technical Working Group for SATUSEHAT (Ministry of Health Indonesia), Expert Panel Member for the M</w:t>
      </w:r>
      <w:r w:rsidR="00A73D98">
        <w:t>o</w:t>
      </w:r>
      <w:r>
        <w:t xml:space="preserve">H Regulatory Sandbox for Digital Health Innovation, Consultant at UPQuality (Clinical Research Governance &amp; GCP Training), Consultant at Indonesian Clinical Research </w:t>
      </w:r>
      <w:proofErr w:type="spellStart"/>
      <w:r>
        <w:t>Center</w:t>
      </w:r>
      <w:proofErr w:type="spellEnd"/>
      <w:r>
        <w:t xml:space="preserve"> (INA-CRC), and Australia Awards Fellow 2025 at Monash University (Digital Health Governance and Innovation).</w:t>
      </w:r>
    </w:p>
    <w:sectPr w:rsidR="004C6A1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9317D" w14:textId="77777777" w:rsidR="00581201" w:rsidRDefault="00581201">
      <w:r>
        <w:separator/>
      </w:r>
    </w:p>
  </w:endnote>
  <w:endnote w:type="continuationSeparator" w:id="0">
    <w:p w14:paraId="7F60EF34" w14:textId="77777777" w:rsidR="00581201" w:rsidRDefault="005812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8A09F" w14:textId="44DD34B5" w:rsidR="004C6A1A" w:rsidRDefault="002072BD">
    <w:pPr>
      <w:pStyle w:val="WBGFooter"/>
      <w:jc w:val="center"/>
    </w:pPr>
    <w:r>
      <w:t xml:space="preserve">Digital Health </w:t>
    </w:r>
    <w:r w:rsidR="00A73D98">
      <w:t>Practice</w:t>
    </w:r>
    <w:r>
      <w:t xml:space="preserve"> Group</w:t>
    </w:r>
    <w:r w:rsidR="00000000">
      <w:t xml:space="preserve"> Report | </w:t>
    </w:r>
    <w:r w:rsidR="00000000">
      <w:fldChar w:fldCharType="begin"/>
    </w:r>
    <w:r w:rsidR="00000000">
      <w:instrText>PAGE</w:instrText>
    </w:r>
    <w:r w:rsidR="00000000">
      <w:fldChar w:fldCharType="separate"/>
    </w:r>
    <w:r>
      <w:rPr>
        <w:noProof/>
      </w:rPr>
      <w:t>1</w:t>
    </w:r>
    <w:r w:rsidR="00000000">
      <w:fldChar w:fldCharType="end"/>
    </w:r>
    <w:r w:rsidR="00000000">
      <w:t xml:space="preserve"> |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CE7EF" w14:textId="77777777" w:rsidR="00581201" w:rsidRDefault="00581201">
      <w:r>
        <w:separator/>
      </w:r>
    </w:p>
  </w:footnote>
  <w:footnote w:type="continuationSeparator" w:id="0">
    <w:p w14:paraId="7249B1EA" w14:textId="77777777" w:rsidR="00581201" w:rsidRDefault="005812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44276" w14:textId="77777777" w:rsidR="004C6A1A" w:rsidRDefault="00000000">
    <w:pPr>
      <w:pBdr>
        <w:bottom w:val="single" w:sz="6" w:space="1" w:color="00205B"/>
      </w:pBdr>
      <w:jc w:val="right"/>
    </w:pPr>
    <w:r>
      <w:rPr>
        <w:color w:val="5B5B5B"/>
        <w:sz w:val="18"/>
        <w:szCs w:val="18"/>
      </w:rPr>
      <w:t>Indonesia Digital Health Assessment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97535"/>
    <w:multiLevelType w:val="hybridMultilevel"/>
    <w:tmpl w:val="9C8C2E7E"/>
    <w:lvl w:ilvl="0" w:tplc="EC889B50">
      <w:start w:val="1"/>
      <w:numFmt w:val="decimal"/>
      <w:lvlText w:val="%1."/>
      <w:lvlJc w:val="left"/>
      <w:pPr>
        <w:ind w:left="720" w:hanging="360"/>
      </w:pPr>
    </w:lvl>
    <w:lvl w:ilvl="1" w:tplc="E7309CC4">
      <w:numFmt w:val="decimal"/>
      <w:lvlText w:val=""/>
      <w:lvlJc w:val="left"/>
    </w:lvl>
    <w:lvl w:ilvl="2" w:tplc="82544754">
      <w:numFmt w:val="decimal"/>
      <w:lvlText w:val=""/>
      <w:lvlJc w:val="left"/>
    </w:lvl>
    <w:lvl w:ilvl="3" w:tplc="F386F1C2">
      <w:numFmt w:val="decimal"/>
      <w:lvlText w:val=""/>
      <w:lvlJc w:val="left"/>
    </w:lvl>
    <w:lvl w:ilvl="4" w:tplc="2992355C">
      <w:numFmt w:val="decimal"/>
      <w:lvlText w:val=""/>
      <w:lvlJc w:val="left"/>
    </w:lvl>
    <w:lvl w:ilvl="5" w:tplc="98C41544">
      <w:numFmt w:val="decimal"/>
      <w:lvlText w:val=""/>
      <w:lvlJc w:val="left"/>
    </w:lvl>
    <w:lvl w:ilvl="6" w:tplc="54AA7FE0">
      <w:numFmt w:val="decimal"/>
      <w:lvlText w:val=""/>
      <w:lvlJc w:val="left"/>
    </w:lvl>
    <w:lvl w:ilvl="7" w:tplc="58A08452">
      <w:numFmt w:val="decimal"/>
      <w:lvlText w:val=""/>
      <w:lvlJc w:val="left"/>
    </w:lvl>
    <w:lvl w:ilvl="8" w:tplc="DC146D06">
      <w:numFmt w:val="decimal"/>
      <w:lvlText w:val=""/>
      <w:lvlJc w:val="left"/>
    </w:lvl>
  </w:abstractNum>
  <w:abstractNum w:abstractNumId="1" w15:restartNumberingAfterBreak="0">
    <w:nsid w:val="1A3E688A"/>
    <w:multiLevelType w:val="hybridMultilevel"/>
    <w:tmpl w:val="9ED85F72"/>
    <w:lvl w:ilvl="0" w:tplc="29701E8C">
      <w:start w:val="1"/>
      <w:numFmt w:val="bullet"/>
      <w:lvlText w:val="●"/>
      <w:lvlJc w:val="left"/>
      <w:pPr>
        <w:ind w:left="720" w:hanging="360"/>
      </w:pPr>
    </w:lvl>
    <w:lvl w:ilvl="1" w:tplc="662C0BAA">
      <w:start w:val="1"/>
      <w:numFmt w:val="bullet"/>
      <w:lvlText w:val="○"/>
      <w:lvlJc w:val="left"/>
      <w:pPr>
        <w:ind w:left="1440" w:hanging="360"/>
      </w:pPr>
    </w:lvl>
    <w:lvl w:ilvl="2" w:tplc="C5F2808A">
      <w:start w:val="1"/>
      <w:numFmt w:val="bullet"/>
      <w:lvlText w:val="■"/>
      <w:lvlJc w:val="left"/>
      <w:pPr>
        <w:ind w:left="2160" w:hanging="360"/>
      </w:pPr>
    </w:lvl>
    <w:lvl w:ilvl="3" w:tplc="B316E47E">
      <w:start w:val="1"/>
      <w:numFmt w:val="bullet"/>
      <w:lvlText w:val="●"/>
      <w:lvlJc w:val="left"/>
      <w:pPr>
        <w:ind w:left="2880" w:hanging="360"/>
      </w:pPr>
    </w:lvl>
    <w:lvl w:ilvl="4" w:tplc="48C871E2">
      <w:start w:val="1"/>
      <w:numFmt w:val="bullet"/>
      <w:lvlText w:val="○"/>
      <w:lvlJc w:val="left"/>
      <w:pPr>
        <w:ind w:left="3600" w:hanging="360"/>
      </w:pPr>
    </w:lvl>
    <w:lvl w:ilvl="5" w:tplc="881AB4D2">
      <w:start w:val="1"/>
      <w:numFmt w:val="bullet"/>
      <w:lvlText w:val="■"/>
      <w:lvlJc w:val="left"/>
      <w:pPr>
        <w:ind w:left="4320" w:hanging="360"/>
      </w:pPr>
    </w:lvl>
    <w:lvl w:ilvl="6" w:tplc="62909AA2">
      <w:start w:val="1"/>
      <w:numFmt w:val="bullet"/>
      <w:lvlText w:val="●"/>
      <w:lvlJc w:val="left"/>
      <w:pPr>
        <w:ind w:left="5040" w:hanging="360"/>
      </w:pPr>
    </w:lvl>
    <w:lvl w:ilvl="7" w:tplc="EA041970">
      <w:start w:val="1"/>
      <w:numFmt w:val="bullet"/>
      <w:lvlText w:val="●"/>
      <w:lvlJc w:val="left"/>
      <w:pPr>
        <w:ind w:left="5760" w:hanging="360"/>
      </w:pPr>
    </w:lvl>
    <w:lvl w:ilvl="8" w:tplc="2666783C">
      <w:start w:val="1"/>
      <w:numFmt w:val="bullet"/>
      <w:lvlText w:val="●"/>
      <w:lvlJc w:val="left"/>
      <w:pPr>
        <w:ind w:left="6480" w:hanging="360"/>
      </w:pPr>
    </w:lvl>
  </w:abstractNum>
  <w:abstractNum w:abstractNumId="2" w15:restartNumberingAfterBreak="0">
    <w:nsid w:val="50330862"/>
    <w:multiLevelType w:val="hybridMultilevel"/>
    <w:tmpl w:val="8B3C0FC6"/>
    <w:lvl w:ilvl="0" w:tplc="93A6D938">
      <w:start w:val="1"/>
      <w:numFmt w:val="bullet"/>
      <w:lvlText w:val="•"/>
      <w:lvlJc w:val="left"/>
      <w:pPr>
        <w:ind w:left="720" w:hanging="360"/>
      </w:pPr>
    </w:lvl>
    <w:lvl w:ilvl="1" w:tplc="DE4A6D86">
      <w:numFmt w:val="decimal"/>
      <w:lvlText w:val=""/>
      <w:lvlJc w:val="left"/>
    </w:lvl>
    <w:lvl w:ilvl="2" w:tplc="2B828ADC">
      <w:numFmt w:val="decimal"/>
      <w:lvlText w:val=""/>
      <w:lvlJc w:val="left"/>
    </w:lvl>
    <w:lvl w:ilvl="3" w:tplc="BDF61174">
      <w:numFmt w:val="decimal"/>
      <w:lvlText w:val=""/>
      <w:lvlJc w:val="left"/>
    </w:lvl>
    <w:lvl w:ilvl="4" w:tplc="FE62B7BA">
      <w:numFmt w:val="decimal"/>
      <w:lvlText w:val=""/>
      <w:lvlJc w:val="left"/>
    </w:lvl>
    <w:lvl w:ilvl="5" w:tplc="064AA750">
      <w:numFmt w:val="decimal"/>
      <w:lvlText w:val=""/>
      <w:lvlJc w:val="left"/>
    </w:lvl>
    <w:lvl w:ilvl="6" w:tplc="51B4F034">
      <w:numFmt w:val="decimal"/>
      <w:lvlText w:val=""/>
      <w:lvlJc w:val="left"/>
    </w:lvl>
    <w:lvl w:ilvl="7" w:tplc="A9CCA85E">
      <w:numFmt w:val="decimal"/>
      <w:lvlText w:val=""/>
      <w:lvlJc w:val="left"/>
    </w:lvl>
    <w:lvl w:ilvl="8" w:tplc="AC9A3BD0">
      <w:numFmt w:val="decimal"/>
      <w:lvlText w:val=""/>
      <w:lvlJc w:val="left"/>
    </w:lvl>
  </w:abstractNum>
  <w:abstractNum w:abstractNumId="3" w15:restartNumberingAfterBreak="0">
    <w:nsid w:val="6AA1018D"/>
    <w:multiLevelType w:val="hybridMultilevel"/>
    <w:tmpl w:val="5E322CD8"/>
    <w:lvl w:ilvl="0" w:tplc="DCD800CC">
      <w:start w:val="1"/>
      <w:numFmt w:val="decimal"/>
      <w:lvlText w:val="%1."/>
      <w:lvlJc w:val="left"/>
      <w:pPr>
        <w:ind w:left="720" w:hanging="360"/>
      </w:pPr>
    </w:lvl>
    <w:lvl w:ilvl="1" w:tplc="DD30325A">
      <w:numFmt w:val="decimal"/>
      <w:lvlText w:val=""/>
      <w:lvlJc w:val="left"/>
    </w:lvl>
    <w:lvl w:ilvl="2" w:tplc="0E4CC622">
      <w:numFmt w:val="decimal"/>
      <w:lvlText w:val=""/>
      <w:lvlJc w:val="left"/>
    </w:lvl>
    <w:lvl w:ilvl="3" w:tplc="98AA5F4C">
      <w:numFmt w:val="decimal"/>
      <w:lvlText w:val=""/>
      <w:lvlJc w:val="left"/>
    </w:lvl>
    <w:lvl w:ilvl="4" w:tplc="5680D61A">
      <w:numFmt w:val="decimal"/>
      <w:lvlText w:val=""/>
      <w:lvlJc w:val="left"/>
    </w:lvl>
    <w:lvl w:ilvl="5" w:tplc="611852F8">
      <w:numFmt w:val="decimal"/>
      <w:lvlText w:val=""/>
      <w:lvlJc w:val="left"/>
    </w:lvl>
    <w:lvl w:ilvl="6" w:tplc="899ED4C0">
      <w:numFmt w:val="decimal"/>
      <w:lvlText w:val=""/>
      <w:lvlJc w:val="left"/>
    </w:lvl>
    <w:lvl w:ilvl="7" w:tplc="81286B20">
      <w:numFmt w:val="decimal"/>
      <w:lvlText w:val=""/>
      <w:lvlJc w:val="left"/>
    </w:lvl>
    <w:lvl w:ilvl="8" w:tplc="1C46F278">
      <w:numFmt w:val="decimal"/>
      <w:lvlText w:val=""/>
      <w:lvlJc w:val="left"/>
    </w:lvl>
  </w:abstractNum>
  <w:abstractNum w:abstractNumId="4" w15:restartNumberingAfterBreak="0">
    <w:nsid w:val="6F0F5A67"/>
    <w:multiLevelType w:val="hybridMultilevel"/>
    <w:tmpl w:val="B0A8C98A"/>
    <w:lvl w:ilvl="0" w:tplc="41805378">
      <w:start w:val="1"/>
      <w:numFmt w:val="decimal"/>
      <w:lvlText w:val="%1."/>
      <w:lvlJc w:val="left"/>
      <w:pPr>
        <w:ind w:left="720" w:hanging="360"/>
      </w:pPr>
    </w:lvl>
    <w:lvl w:ilvl="1" w:tplc="B6C07362">
      <w:numFmt w:val="decimal"/>
      <w:lvlText w:val=""/>
      <w:lvlJc w:val="left"/>
    </w:lvl>
    <w:lvl w:ilvl="2" w:tplc="ED3A6A0A">
      <w:numFmt w:val="decimal"/>
      <w:lvlText w:val=""/>
      <w:lvlJc w:val="left"/>
    </w:lvl>
    <w:lvl w:ilvl="3" w:tplc="5D04CD3A">
      <w:numFmt w:val="decimal"/>
      <w:lvlText w:val=""/>
      <w:lvlJc w:val="left"/>
    </w:lvl>
    <w:lvl w:ilvl="4" w:tplc="AB38FDA6">
      <w:numFmt w:val="decimal"/>
      <w:lvlText w:val=""/>
      <w:lvlJc w:val="left"/>
    </w:lvl>
    <w:lvl w:ilvl="5" w:tplc="9282F410">
      <w:numFmt w:val="decimal"/>
      <w:lvlText w:val=""/>
      <w:lvlJc w:val="left"/>
    </w:lvl>
    <w:lvl w:ilvl="6" w:tplc="92146C5C">
      <w:numFmt w:val="decimal"/>
      <w:lvlText w:val=""/>
      <w:lvlJc w:val="left"/>
    </w:lvl>
    <w:lvl w:ilvl="7" w:tplc="83189F08">
      <w:numFmt w:val="decimal"/>
      <w:lvlText w:val=""/>
      <w:lvlJc w:val="left"/>
    </w:lvl>
    <w:lvl w:ilvl="8" w:tplc="6DCE079E">
      <w:numFmt w:val="decimal"/>
      <w:lvlText w:val=""/>
      <w:lvlJc w:val="left"/>
    </w:lvl>
  </w:abstractNum>
  <w:num w:numId="1" w16cid:durableId="668336674">
    <w:abstractNumId w:val="1"/>
    <w:lvlOverride w:ilvl="0">
      <w:startOverride w:val="1"/>
    </w:lvlOverride>
  </w:num>
  <w:num w:numId="2" w16cid:durableId="1359892426">
    <w:abstractNumId w:val="2"/>
    <w:lvlOverride w:ilvl="0">
      <w:startOverride w:val="1"/>
    </w:lvlOverride>
  </w:num>
  <w:num w:numId="3" w16cid:durableId="1550609541">
    <w:abstractNumId w:val="3"/>
    <w:lvlOverride w:ilvl="0">
      <w:startOverride w:val="1"/>
    </w:lvlOverride>
  </w:num>
  <w:num w:numId="4" w16cid:durableId="487130660">
    <w:abstractNumId w:val="4"/>
    <w:lvlOverride w:ilvl="0">
      <w:startOverride w:val="1"/>
    </w:lvlOverride>
  </w:num>
  <w:num w:numId="5" w16cid:durableId="20051599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A1A"/>
    <w:rsid w:val="002072BD"/>
    <w:rsid w:val="003A4852"/>
    <w:rsid w:val="004C6A1A"/>
    <w:rsid w:val="00581201"/>
    <w:rsid w:val="00A5551E"/>
    <w:rsid w:val="00A73D9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607E649A"/>
  <w15:docId w15:val="{C8791E11-144A-CD43-B387-6E946873E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205B"/>
      <w:sz w:val="32"/>
      <w:szCs w:val="32"/>
    </w:rPr>
  </w:style>
  <w:style w:type="paragraph" w:styleId="Heading2">
    <w:name w:val="heading 2"/>
    <w:uiPriority w:val="9"/>
    <w:unhideWhenUsed/>
    <w:qFormat/>
    <w:pPr>
      <w:spacing w:before="200" w:after="100"/>
      <w:outlineLvl w:val="1"/>
    </w:pPr>
    <w:rPr>
      <w:b/>
      <w:bCs/>
      <w:color w:val="00205B"/>
      <w:sz w:val="26"/>
      <w:szCs w:val="26"/>
    </w:rPr>
  </w:style>
  <w:style w:type="paragraph" w:styleId="Heading3">
    <w:name w:val="heading 3"/>
    <w:uiPriority w:val="9"/>
    <w:unhideWhenUsed/>
    <w:qFormat/>
    <w:pPr>
      <w:spacing w:before="160" w:after="80"/>
      <w:outlineLvl w:val="2"/>
    </w:pPr>
    <w:rPr>
      <w:b/>
      <w:bCs/>
      <w:color w:val="00A3E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205B"/>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alloutBox">
    <w:name w:val="Callout Box"/>
    <w:pPr>
      <w:spacing w:before="100" w:after="100"/>
      <w:ind w:left="360" w:right="360"/>
    </w:pPr>
  </w:style>
  <w:style w:type="paragraph" w:customStyle="1" w:styleId="WBGFooter">
    <w:name w:val="WBG Footer"/>
    <w:pPr>
      <w:spacing w:before="60"/>
    </w:pPr>
    <w:rPr>
      <w:color w:val="5B5B5B"/>
      <w:sz w:val="18"/>
      <w:szCs w:val="18"/>
    </w:rPr>
  </w:style>
  <w:style w:type="paragraph" w:styleId="TOC3">
    <w:name w:val="toc 3"/>
    <w:basedOn w:val="Normal"/>
    <w:next w:val="Normal"/>
    <w:autoRedefine/>
    <w:uiPriority w:val="39"/>
    <w:unhideWhenUsed/>
    <w:rsid w:val="002072BD"/>
    <w:pPr>
      <w:spacing w:after="100"/>
      <w:ind w:left="440"/>
    </w:pPr>
  </w:style>
  <w:style w:type="paragraph" w:styleId="TOC1">
    <w:name w:val="toc 1"/>
    <w:basedOn w:val="Normal"/>
    <w:next w:val="Normal"/>
    <w:autoRedefine/>
    <w:uiPriority w:val="39"/>
    <w:unhideWhenUsed/>
    <w:rsid w:val="002072BD"/>
    <w:pPr>
      <w:spacing w:after="100"/>
    </w:pPr>
  </w:style>
  <w:style w:type="paragraph" w:styleId="TOC2">
    <w:name w:val="toc 2"/>
    <w:basedOn w:val="Normal"/>
    <w:next w:val="Normal"/>
    <w:autoRedefine/>
    <w:uiPriority w:val="39"/>
    <w:unhideWhenUsed/>
    <w:rsid w:val="002072BD"/>
    <w:pPr>
      <w:spacing w:after="100"/>
      <w:ind w:left="220"/>
    </w:pPr>
  </w:style>
  <w:style w:type="paragraph" w:styleId="Header">
    <w:name w:val="header"/>
    <w:basedOn w:val="Normal"/>
    <w:link w:val="HeaderChar"/>
    <w:uiPriority w:val="99"/>
    <w:unhideWhenUsed/>
    <w:rsid w:val="002072BD"/>
    <w:pPr>
      <w:tabs>
        <w:tab w:val="center" w:pos="4680"/>
        <w:tab w:val="right" w:pos="9360"/>
      </w:tabs>
    </w:pPr>
  </w:style>
  <w:style w:type="character" w:customStyle="1" w:styleId="HeaderChar">
    <w:name w:val="Header Char"/>
    <w:basedOn w:val="DefaultParagraphFont"/>
    <w:link w:val="Header"/>
    <w:uiPriority w:val="99"/>
    <w:rsid w:val="002072BD"/>
  </w:style>
  <w:style w:type="paragraph" w:styleId="Footer">
    <w:name w:val="footer"/>
    <w:basedOn w:val="Normal"/>
    <w:link w:val="FooterChar"/>
    <w:uiPriority w:val="99"/>
    <w:unhideWhenUsed/>
    <w:rsid w:val="002072BD"/>
    <w:pPr>
      <w:tabs>
        <w:tab w:val="center" w:pos="4680"/>
        <w:tab w:val="right" w:pos="9360"/>
      </w:tabs>
    </w:pPr>
  </w:style>
  <w:style w:type="character" w:customStyle="1" w:styleId="FooterChar">
    <w:name w:val="Footer Char"/>
    <w:basedOn w:val="DefaultParagraphFont"/>
    <w:link w:val="Footer"/>
    <w:uiPriority w:val="99"/>
    <w:rsid w:val="002072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2934</Words>
  <Characters>16725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Hidayat</cp:lastModifiedBy>
  <cp:revision>3</cp:revision>
  <dcterms:created xsi:type="dcterms:W3CDTF">2026-01-17T01:22:00Z</dcterms:created>
  <dcterms:modified xsi:type="dcterms:W3CDTF">2026-01-17T01:43:00Z</dcterms:modified>
</cp:coreProperties>
</file>