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rFonts w:ascii="Arial" w:hAnsi="Arial"/>
          <w:b/>
          <w:color w:val="1E293B"/>
          <w:sz w:val="44"/>
        </w:rPr>
        <w:t>Value-Based Digital Health Innovation Canvas (VDHIC)</w:t>
      </w:r>
    </w:p>
    <w:p>
      <w:pPr>
        <w:spacing w:after="320"/>
      </w:pPr>
      <w:r>
        <w:rPr>
          <w:rFonts w:ascii="Arial" w:hAnsi="Arial"/>
          <w:i/>
          <w:color w:val="2563EB"/>
          <w:sz w:val="24"/>
        </w:rPr>
        <w:t>Instruction Guide v1.25 — From Problem to Impact: Navigating Indonesia's Digital Health Ecosystem</w:t>
      </w:r>
    </w:p>
    <w:p>
      <w:pPr>
        <w:spacing w:after="360"/>
      </w:pPr>
      <w:r>
        <w:rPr>
          <w:b/>
          <w:color w:val="64748B"/>
          <w:sz w:val="19"/>
        </w:rPr>
        <w:t>Australia Awards Fellowship 2025 • Monash University • Regulatory Sandbox Ministry of Health of the Republic of Indonesia • Version 1.25</w:t>
      </w:r>
    </w:p>
    <w:p>
      <w:pPr>
        <w:spacing w:before="360" w:after="120"/>
      </w:pPr>
      <w:r>
        <w:rPr>
          <w:rFonts w:ascii="Arial" w:hAnsi="Arial"/>
          <w:b/>
          <w:color w:val="1E293B"/>
          <w:sz w:val="32"/>
        </w:rPr>
        <w:t>1. Introduction</w:t>
      </w:r>
    </w:p>
    <w:p>
      <w:pPr>
        <w:spacing w:after="120"/>
      </w:pPr>
      <w:r>
        <w:t>The Value-Based Digital Health Innovation Canvas (VDHIC) transforms the Indonesia Digital Health Transformation Toolkit conceptual framework into a practical, actionable operational tool. Inspired by the Business Model Canvas methodology, VDHIC guides innovators through a structured journey from identifying acute healthcare challenges to delivering measurable, value-based outcomes.</w:t>
      </w:r>
    </w:p>
    <w:p>
      <w:pPr>
        <w:spacing w:after="240"/>
      </w:pPr>
      <w:r>
        <w:t>This canvas is tailored specifically for the Indonesian digital health ecosystem, incorporating requirements for Medical Device Classification under Ministry of Health (Kemenkes RI) regulations, Enterprise Interoperability across SATUSEHAT and healthcare facility systems (SIMRS, PCare), regulatory sandbox participation, and alignment with national health priorities. The canvas anchors all innovation efforts to the Quintuple Aim framework, ensuring comprehensive value creation across all healthcare stakeholders.</w:t>
      </w:r>
    </w:p>
    <w:p>
      <w:pPr>
        <w:spacing w:before="280" w:after="80"/>
      </w:pPr>
      <w:r>
        <w:rPr>
          <w:rFonts w:ascii="Arial" w:hAnsi="Arial"/>
          <w:b/>
          <w:color w:val="0D9488"/>
          <w:sz w:val="26"/>
        </w:rPr>
        <w:t>Purpose</w:t>
      </w:r>
    </w:p>
    <w:p>
      <w:pPr>
        <w:pStyle w:val="ListBullet"/>
        <w:spacing w:after="60"/>
      </w:pPr>
      <w:r>
        <w:rPr>
          <w:b/>
          <w:color w:val="0F172A"/>
        </w:rPr>
        <w:t xml:space="preserve">Structured Innovation Framework: </w:t>
      </w:r>
      <w:r>
        <w:t>Provide a systematic, standard canvas for digital health innovation in Indonesia.</w:t>
      </w:r>
    </w:p>
    <w:p>
      <w:pPr>
        <w:pStyle w:val="ListBullet"/>
        <w:spacing w:after="60"/>
      </w:pPr>
      <w:r>
        <w:rPr>
          <w:b/>
          <w:color w:val="0F172A"/>
        </w:rPr>
        <w:t>Embedded Governance: Ensure critical governance considerations (Medical Device Classification, Clinical Governance, Data Governance, and Tech Governance) are built-in from day one.</w:t>
      </w:r>
      <w:r/>
    </w:p>
    <w:p>
      <w:pPr>
        <w:pStyle w:val="ListBullet"/>
        <w:spacing w:after="60"/>
      </w:pPr>
      <w:r>
        <w:rPr>
          <w:b/>
          <w:color w:val="0F172A"/>
        </w:rPr>
        <w:t xml:space="preserve">Multi-Stakeholder Alignment: </w:t>
      </w:r>
      <w:r>
        <w:t>Facilitate structured dialogue with a shared vocabulary between innovators, clinicians, regulators, payers (BPJS Kesehatan), and technology partners.</w:t>
      </w:r>
    </w:p>
    <w:p>
      <w:pPr>
        <w:pStyle w:val="ListBullet"/>
        <w:spacing w:after="60"/>
      </w:pPr>
      <w:r>
        <w:rPr>
          <w:b/>
          <w:color w:val="0F172A"/>
        </w:rPr>
        <w:t xml:space="preserve">Bridge Design to Execution: </w:t>
      </w:r>
      <w:r>
        <w:t>Translate high-level conceptual ideas into enterprise-ready technical and operational architectures.</w:t>
      </w:r>
    </w:p>
    <w:p>
      <w:pPr>
        <w:pStyle w:val="ListBullet"/>
        <w:spacing w:after="60"/>
      </w:pPr>
      <w:r>
        <w:rPr>
          <w:b/>
          <w:color w:val="0F172A"/>
        </w:rPr>
        <w:t xml:space="preserve">Regulatory &amp; Investor Readiness: </w:t>
      </w:r>
      <w:r>
        <w:t>Support applications for the Kemenkes Regulatory Sandbox, medical device registration pathways, and investor proposals.</w:t>
      </w:r>
    </w:p>
    <w:p>
      <w:pPr>
        <w:pStyle w:val="ListBullet"/>
        <w:spacing w:after="60"/>
      </w:pPr>
      <w:r>
        <w:rPr>
          <w:b/>
          <w:color w:val="0F172A"/>
        </w:rPr>
        <w:t xml:space="preserve">Value-Based Impact: </w:t>
      </w:r>
      <w:r>
        <w:t>Align digital solutions with Quintuple Aim outcomes for demonstrable health system value.</w:t>
      </w:r>
    </w:p>
    <w:p>
      <w:pPr>
        <w:spacing w:before="280" w:after="80"/>
      </w:pPr>
      <w:r>
        <w:rPr>
          <w:rFonts w:ascii="Arial" w:hAnsi="Arial"/>
          <w:b/>
          <w:color w:val="0D9488"/>
          <w:sz w:val="26"/>
        </w:rPr>
        <w:t>Target Users</w:t>
      </w:r>
    </w:p>
    <w:p>
      <w:pPr>
        <w:pStyle w:val="ListBullet"/>
        <w:spacing w:after="60"/>
      </w:pPr>
      <w:r>
        <w:t>Digital health startups and entrepreneurs structuring product roadmaps and regulatory compliance strategies.</w:t>
      </w:r>
    </w:p>
    <w:p>
      <w:pPr>
        <w:pStyle w:val="ListBullet"/>
        <w:spacing w:after="60"/>
      </w:pPr>
      <w:r>
        <w:t>Healthcare organizations and hospital leads guiding internal digital transformation.</w:t>
      </w:r>
    </w:p>
    <w:p>
      <w:pPr>
        <w:pStyle w:val="ListBullet"/>
        <w:spacing w:after="60"/>
      </w:pPr>
      <w:r>
        <w:t>Accelerator and incubator programs mentoring health tech ventures.</w:t>
      </w:r>
    </w:p>
    <w:p>
      <w:pPr>
        <w:pStyle w:val="ListBullet"/>
        <w:spacing w:after="60"/>
      </w:pPr>
      <w:r>
        <w:t>Regulatory sandbox applicants preparing submissions for Kemenkes RI evaluation.</w:t>
      </w:r>
    </w:p>
    <w:p>
      <w:pPr>
        <w:pStyle w:val="ListBullet"/>
        <w:spacing w:after="60"/>
      </w:pPr>
      <w:r>
        <w:t>Investors and grant committees conducting technical and regulatory diligence.</w:t>
      </w:r>
    </w:p>
    <w:p>
      <w:pPr>
        <w:pStyle w:val="ListBullet"/>
        <w:spacing w:after="60"/>
      </w:pPr>
      <w:r>
        <w:t>Policy makers and health system planners designing governance-aligned interventions.</w:t>
      </w:r>
    </w:p>
    <w:p>
      <w:pPr>
        <w:spacing w:before="360" w:after="120"/>
      </w:pPr>
      <w:r>
        <w:rPr>
          <w:rFonts w:ascii="Arial" w:hAnsi="Arial"/>
          <w:b/>
          <w:color w:val="1E293B"/>
          <w:sz w:val="32"/>
        </w:rPr>
        <w:t>2. Canvas Structure</w:t>
      </w:r>
    </w:p>
    <w:p>
      <w:r>
        <w:t>The VDHIC consists of four integrated operational layers that correspond to the national digital health transformation framework:</w:t>
      </w:r>
    </w:p>
    <w:p>
      <w:pPr>
        <w:pStyle w:val="ListBullet"/>
        <w:spacing w:after="60"/>
      </w:pPr>
      <w:r>
        <w:rPr>
          <w:b/>
          <w:color w:val="0F172A"/>
        </w:rPr>
        <w:t xml:space="preserve">Governance Spine (Safety &amp; Compliance Umbrella): </w:t>
      </w:r>
      <w:r>
        <w:t>Four governance blocks forming an overarching compliance and technical reliability envelope.</w:t>
      </w:r>
    </w:p>
    <w:p>
      <w:pPr>
        <w:pStyle w:val="ListBullet"/>
        <w:spacing w:after="60"/>
      </w:pPr>
      <w:r>
        <w:rPr>
          <w:b/>
          <w:color w:val="0F172A"/>
        </w:rPr>
        <w:t xml:space="preserve">Main Canvas Grid (Innovation Lifecycle): </w:t>
      </w:r>
      <w:r>
        <w:t>Nine blocks organized into three sequential phases (DISCOVER → DESIGN → DELIVER).</w:t>
      </w:r>
    </w:p>
    <w:p>
      <w:pPr>
        <w:pStyle w:val="ListBullet"/>
        <w:spacing w:after="60"/>
      </w:pPr>
      <w:r>
        <w:rPr>
          <w:b/>
          <w:color w:val="0F172A"/>
        </w:rPr>
        <w:t xml:space="preserve">Value Anchor (Impact Baseline): </w:t>
      </w:r>
      <w:r>
        <w:t>Five Quintuple Aim outcome indicators ensuring value creation.</w:t>
      </w:r>
    </w:p>
    <w:p>
      <w:pPr>
        <w:pStyle w:val="ListBullet"/>
        <w:spacing w:after="60"/>
      </w:pPr>
      <w:r>
        <w:rPr>
          <w:b/>
          <w:color w:val="0F172A"/>
        </w:rPr>
        <w:t xml:space="preserve">Maturity Levels (Progress Tracking): </w:t>
      </w:r>
      <w:r>
        <w:t>Four progress markers (○ Concept, ◐ Validated, ● Implemented, ★ Scaled).</w:t>
      </w:r>
    </w:p>
    <w:p>
      <w:pPr>
        <w:spacing w:before="280" w:after="80"/>
      </w:pPr>
      <w:r>
        <w:rPr>
          <w:rFonts w:ascii="Arial" w:hAnsi="Arial"/>
          <w:b/>
          <w:color w:val="0D9488"/>
          <w:sz w:val="26"/>
        </w:rPr>
        <w:t>Governance Spine Components</w:t>
      </w:r>
    </w:p>
    <w:tbl>
      <w:tblPr>
        <w:tblW w:type="auto" w:w="0"/>
        <w:jc w:val="center"/>
        <w:tblLook w:firstColumn="1" w:firstRow="1" w:lastColumn="0" w:lastRow="0" w:noHBand="0" w:noVBand="1" w:val="04A0"/>
      </w:tblPr>
      <w:tblGrid>
        <w:gridCol w:w="3120"/>
        <w:gridCol w:w="3120"/>
        <w:gridCol w:w="3120"/>
      </w:tblGrid>
      <w:tr>
        <w:tc>
          <w:tcPr>
            <w:tcW w:type="dxa" w:w="3120"/>
            <w:shd w:fill="E2E8F0"/>
          </w:tcPr>
          <w:p>
            <w:r>
              <w:rPr>
                <w:b/>
                <w:color w:val="1E293B"/>
              </w:rPr>
              <w:t>Governance Block</w:t>
            </w:r>
          </w:p>
        </w:tc>
        <w:tc>
          <w:tcPr>
            <w:tcW w:type="dxa" w:w="3120"/>
            <w:shd w:fill="E2E8F0"/>
          </w:tcPr>
          <w:p>
            <w:r>
              <w:rPr>
                <w:b/>
                <w:color w:val="1E293B"/>
              </w:rPr>
              <w:t>Focus Area</w:t>
            </w:r>
          </w:p>
        </w:tc>
        <w:tc>
          <w:tcPr>
            <w:tcW w:type="dxa" w:w="3120"/>
            <w:shd w:fill="E2E8F0"/>
          </w:tcPr>
          <w:p>
            <w:r>
              <w:rPr>
                <w:b/>
                <w:color w:val="1E293B"/>
              </w:rPr>
              <w:t>Key Elements</w:t>
            </w:r>
          </w:p>
        </w:tc>
      </w:tr>
      <w:tr>
        <w:tc>
          <w:tcPr>
            <w:tcW w:type="dxa" w:w="3120"/>
          </w:tcPr>
          <w:p>
            <w:r>
              <w:rPr>
                <w:b/>
                <w:sz w:val="19"/>
              </w:rPr>
              <w:t>Regulatory Pathway</w:t>
            </w:r>
          </w:p>
        </w:tc>
        <w:tc>
          <w:tcPr>
            <w:tcW w:type="dxa" w:w="3120"/>
          </w:tcPr>
          <w:p>
            <w:r>
              <w:rPr>
                <w:sz w:val="19"/>
              </w:rPr>
              <w:t>Compliance with medical device laws &amp; standards</w:t>
            </w:r>
          </w:p>
        </w:tc>
        <w:tc>
          <w:tcPr>
            <w:tcW w:type="dxa" w:w="3120"/>
          </w:tcPr>
          <w:p>
            <w:r>
              <w:rPr>
                <w:sz w:val="19"/>
              </w:rPr>
              <w:t>Medical Device Classification, Regulatory Sandbox, TKDN, ISO 13485</w:t>
            </w:r>
          </w:p>
        </w:tc>
      </w:tr>
      <w:tr>
        <w:tc>
          <w:tcPr>
            <w:tcW w:type="dxa" w:w="3120"/>
          </w:tcPr>
          <w:p>
            <w:r>
              <w:rPr>
                <w:b/>
                <w:sz w:val="19"/>
              </w:rPr>
              <w:t>Clinical Governance</w:t>
            </w:r>
          </w:p>
        </w:tc>
        <w:tc>
          <w:tcPr>
            <w:tcW w:type="dxa" w:w="3120"/>
          </w:tcPr>
          <w:p>
            <w:r>
              <w:rPr>
                <w:sz w:val="19"/>
              </w:rPr>
              <w:t>Patient safety &amp; clinical quality assurance</w:t>
            </w:r>
          </w:p>
        </w:tc>
        <w:tc>
          <w:tcPr>
            <w:tcW w:type="dxa" w:w="3120"/>
          </w:tcPr>
          <w:p>
            <w:r>
              <w:rPr>
                <w:sz w:val="19"/>
              </w:rPr>
              <w:t>Clinical Protocols, PNPK Alignment, Adverse Event Reporting</w:t>
            </w:r>
          </w:p>
        </w:tc>
      </w:tr>
      <w:tr>
        <w:tc>
          <w:tcPr>
            <w:tcW w:type="dxa" w:w="3120"/>
          </w:tcPr>
          <w:p>
            <w:r>
              <w:rPr>
                <w:b/>
                <w:sz w:val="19"/>
              </w:rPr>
              <w:t>Data Governance</w:t>
            </w:r>
          </w:p>
        </w:tc>
        <w:tc>
          <w:tcPr>
            <w:tcW w:type="dxa" w:w="3120"/>
          </w:tcPr>
          <w:p>
            <w:r>
              <w:rPr>
                <w:sz w:val="19"/>
              </w:rPr>
              <w:t>Privacy &amp; data protection compliance</w:t>
            </w:r>
          </w:p>
        </w:tc>
        <w:tc>
          <w:tcPr>
            <w:tcW w:type="dxa" w:w="3120"/>
          </w:tcPr>
          <w:p>
            <w:r>
              <w:rPr>
                <w:sz w:val="19"/>
              </w:rPr>
              <w:t>UU PDP (Law 27/2022), PP 71/2019, Consent, Security Standards</w:t>
            </w:r>
          </w:p>
        </w:tc>
      </w:tr>
      <w:tr>
        <w:tc>
          <w:tcPr>
            <w:tcW w:type="dxa" w:w="3120"/>
          </w:tcPr>
          <w:p>
            <w:r>
              <w:rPr>
                <w:b/>
                <w:sz w:val="19"/>
              </w:rPr>
              <w:t>Tech Governance</w:t>
            </w:r>
          </w:p>
        </w:tc>
        <w:tc>
          <w:tcPr>
            <w:tcW w:type="dxa" w:w="3120"/>
          </w:tcPr>
          <w:p>
            <w:r>
              <w:rPr>
                <w:sz w:val="19"/>
              </w:rPr>
              <w:t>System reliability, security &amp; architecture</w:t>
            </w:r>
          </w:p>
        </w:tc>
        <w:tc>
          <w:tcPr>
            <w:tcW w:type="dxa" w:w="3120"/>
          </w:tcPr>
          <w:p>
            <w:r>
              <w:rPr>
                <w:sz w:val="19"/>
              </w:rPr>
              <w:t>Architecture, Cybersecurity (ISO 27001), API Standards, DR/BC</w:t>
            </w:r>
          </w:p>
        </w:tc>
      </w:tr>
    </w:tbl>
    <w:p>
      <w:pPr>
        <w:spacing w:before="280" w:after="80"/>
      </w:pPr>
      <w:r>
        <w:rPr>
          <w:rFonts w:ascii="Arial" w:hAnsi="Arial"/>
          <w:b/>
          <w:color w:val="0D9488"/>
          <w:sz w:val="26"/>
        </w:rPr>
        <w:t>Innovation Phases</w:t>
      </w:r>
    </w:p>
    <w:tbl>
      <w:tblPr>
        <w:tblW w:type="auto" w:w="0"/>
        <w:jc w:val="center"/>
        <w:tblLook w:firstColumn="1" w:firstRow="1" w:lastColumn="0" w:lastRow="0" w:noHBand="0" w:noVBand="1" w:val="04A0"/>
      </w:tblPr>
      <w:tblGrid>
        <w:gridCol w:w="3120"/>
        <w:gridCol w:w="3120"/>
        <w:gridCol w:w="3120"/>
      </w:tblGrid>
      <w:tr>
        <w:tc>
          <w:tcPr>
            <w:tcW w:type="dxa" w:w="3120"/>
            <w:shd w:fill="E2E8F0"/>
          </w:tcPr>
          <w:p>
            <w:r>
              <w:rPr>
                <w:b/>
                <w:color w:val="1E293B"/>
              </w:rPr>
              <w:t>Phase</w:t>
            </w:r>
          </w:p>
        </w:tc>
        <w:tc>
          <w:tcPr>
            <w:tcW w:type="dxa" w:w="3120"/>
            <w:shd w:fill="E2E8F0"/>
          </w:tcPr>
          <w:p>
            <w:r>
              <w:rPr>
                <w:b/>
                <w:color w:val="1E293B"/>
              </w:rPr>
              <w:t>Blocks</w:t>
            </w:r>
          </w:p>
        </w:tc>
        <w:tc>
          <w:tcPr>
            <w:tcW w:type="dxa" w:w="3120"/>
            <w:shd w:fill="E2E8F0"/>
          </w:tcPr>
          <w:p>
            <w:r>
              <w:rPr>
                <w:b/>
                <w:color w:val="1E293B"/>
              </w:rPr>
              <w:t>Focus &amp; Mindset</w:t>
            </w:r>
          </w:p>
        </w:tc>
      </w:tr>
      <w:tr>
        <w:tc>
          <w:tcPr>
            <w:tcW w:type="dxa" w:w="3120"/>
          </w:tcPr>
          <w:p>
            <w:r>
              <w:rPr>
                <w:b/>
                <w:sz w:val="19"/>
              </w:rPr>
              <w:t>DISCOVER</w:t>
            </w:r>
          </w:p>
        </w:tc>
        <w:tc>
          <w:tcPr>
            <w:tcW w:type="dxa" w:w="3120"/>
          </w:tcPr>
          <w:p>
            <w:r>
              <w:rPr>
                <w:sz w:val="19"/>
              </w:rPr>
              <w:t>1, 2, 3</w:t>
            </w:r>
          </w:p>
        </w:tc>
        <w:tc>
          <w:tcPr>
            <w:tcW w:type="dxa" w:w="3120"/>
          </w:tcPr>
          <w:p>
            <w:r>
              <w:rPr>
                <w:sz w:val="19"/>
              </w:rPr>
              <w:t>Problem identification, user research, stakeholder mapping (Design Thinking)</w:t>
            </w:r>
          </w:p>
        </w:tc>
      </w:tr>
      <w:tr>
        <w:tc>
          <w:tcPr>
            <w:tcW w:type="dxa" w:w="3120"/>
          </w:tcPr>
          <w:p>
            <w:r>
              <w:rPr>
                <w:b/>
                <w:sz w:val="19"/>
              </w:rPr>
              <w:t>DESIGN</w:t>
            </w:r>
          </w:p>
        </w:tc>
        <w:tc>
          <w:tcPr>
            <w:tcW w:type="dxa" w:w="3120"/>
          </w:tcPr>
          <w:p>
            <w:r>
              <w:rPr>
                <w:sz w:val="19"/>
              </w:rPr>
              <w:t>4, 5, 6</w:t>
            </w:r>
          </w:p>
        </w:tc>
        <w:tc>
          <w:tcPr>
            <w:tcW w:type="dxa" w:w="3120"/>
          </w:tcPr>
          <w:p>
            <w:r>
              <w:rPr>
                <w:sz w:val="19"/>
              </w:rPr>
              <w:t>Solution architecture, UX design, enterprise interoperability (Core Pillars &amp; HCD)</w:t>
            </w:r>
          </w:p>
        </w:tc>
      </w:tr>
      <w:tr>
        <w:tc>
          <w:tcPr>
            <w:tcW w:type="dxa" w:w="3120"/>
          </w:tcPr>
          <w:p>
            <w:r>
              <w:rPr>
                <w:b/>
                <w:sz w:val="19"/>
              </w:rPr>
              <w:t>DELIVER</w:t>
            </w:r>
          </w:p>
        </w:tc>
        <w:tc>
          <w:tcPr>
            <w:tcW w:type="dxa" w:w="3120"/>
          </w:tcPr>
          <w:p>
            <w:r>
              <w:rPr>
                <w:sz w:val="19"/>
              </w:rPr>
              <w:t>7, 8, 9</w:t>
            </w:r>
          </w:p>
        </w:tc>
        <w:tc>
          <w:tcPr>
            <w:tcW w:type="dxa" w:w="3120"/>
          </w:tcPr>
          <w:p>
            <w:r>
              <w:rPr>
                <w:sz w:val="19"/>
              </w:rPr>
              <w:t>Evidence generation, scale strategy, business model &amp; sustainability (Strategy &amp; Reality)</w:t>
            </w:r>
          </w:p>
        </w:tc>
      </w:tr>
    </w:tbl>
    <w:p>
      <w:pPr>
        <w:spacing w:before="360" w:after="120"/>
      </w:pPr>
      <w:r>
        <w:rPr>
          <w:rFonts w:ascii="Arial" w:hAnsi="Arial"/>
          <w:b/>
          <w:color w:val="1E293B"/>
          <w:sz w:val="32"/>
        </w:rPr>
        <w:t>3. Block-by-Block Guide</w:t>
      </w:r>
    </w:p>
    <w:p>
      <w:pPr>
        <w:spacing w:before="280" w:after="80"/>
      </w:pPr>
      <w:r>
        <w:rPr>
          <w:rFonts w:ascii="Arial" w:hAnsi="Arial"/>
          <w:b/>
          <w:color w:val="0D9488"/>
          <w:sz w:val="26"/>
        </w:rPr>
        <w:t>GOVERNANCE SPINE (Compliance Umbrella)</w:t>
      </w:r>
    </w:p>
    <w:p>
      <w:r>
        <w:t>The governance spine forms the compliance umbrella over all innovation activities. These four blocks ensure safety, compliance, and technical reliability are considered from the outset.</w:t>
      </w:r>
    </w:p>
    <w:p>
      <w:pPr>
        <w:spacing w:before="200" w:after="40"/>
      </w:pPr>
      <w:r>
        <w:rPr>
          <w:rFonts w:ascii="Arial" w:hAnsi="Arial"/>
          <w:b/>
          <w:color w:val="1E3A8A"/>
          <w:sz w:val="22"/>
        </w:rPr>
        <w:t>Block 10: Regulatory Pathway (Updated in v1.25)</w:t>
      </w:r>
    </w:p>
    <w:p>
      <w:r>
        <w:t>Focuses on establishing the regulatory trajectory under Ministry of Health (Kemenkes RI) regulations, specifically emphasizing Medical Device Classification, Software as a Medical Device (SaMD), Regulatory Sandbox participation, TKDN local content, and Quality Management Systems (QMS).</w:t>
      </w:r>
    </w:p>
    <w:tbl>
      <w:tblPr>
        <w:tblW w:type="auto" w:w="0"/>
        <w:jc w:val="center"/>
        <w:tblLook w:firstColumn="1" w:firstRow="1" w:lastColumn="0" w:lastRow="0" w:noHBand="0" w:noVBand="1" w:val="04A0"/>
      </w:tblPr>
      <w:tblGrid>
        <w:gridCol w:w="9360"/>
      </w:tblGrid>
      <w:tr>
        <w:tc>
          <w:tcPr>
            <w:tcW w:type="dxa" w:w="9360"/>
            <w:shd w:fill="F0FDF4"/>
            <w:tcBorders>
              <w:top w:val="none" w:sz="0" w:space="0" w:color="auto"/>
              <w:left w:val="single" w:sz="24" w:space="0" w:color="0D9488"/>
              <w:bottom w:val="none" w:sz="0" w:space="0" w:color="auto"/>
              <w:right w:val="none" w:sz="0" w:space="0" w:color="auto"/>
            </w:tcBorders>
          </w:tcPr>
          <w:p>
            <w:pPr>
              <w:spacing w:after="80"/>
            </w:pPr>
            <w:r>
              <w:rPr>
                <w:b/>
                <w:color w:val="0D9488"/>
                <w:sz w:val="22"/>
              </w:rPr>
              <w:t>🏛️ Medical Device Classification &amp; Standards Framework</w:t>
            </w:r>
          </w:p>
          <w:p>
            <w:pPr>
              <w:pStyle w:val="ListBullet"/>
              <w:spacing w:after="40"/>
            </w:pPr>
            <w:r>
              <w:rPr>
                <w:sz w:val="20"/>
              </w:rPr>
              <w:t>Software as a Medical Device (SaMD): Standalone software intended for medical purposes (diagnosis, prevention, monitoring, treatment, or alleviation of disease/injury).</w:t>
            </w:r>
          </w:p>
          <w:p>
            <w:pPr>
              <w:pStyle w:val="ListBullet"/>
              <w:spacing w:after="40"/>
            </w:pPr>
            <w:r>
              <w:rPr>
                <w:sz w:val="20"/>
              </w:rPr>
              <w:t>Software in a Medical Device (SiMD): Software embedded within or driving hardware medical devices.</w:t>
            </w:r>
          </w:p>
          <w:p>
            <w:pPr>
              <w:pStyle w:val="ListBullet"/>
              <w:spacing w:after="40"/>
            </w:pPr>
            <w:r>
              <w:rPr>
                <w:sz w:val="20"/>
              </w:rPr>
              <w:t>Risk-Based Classification Categories: Class I (Low Risk), Class IIa/IIb (Moderate Risk), Class III (High Risk - autonomous AI, life-critical tools).</w:t>
            </w:r>
          </w:p>
          <w:p>
            <w:pPr>
              <w:pStyle w:val="ListBullet"/>
              <w:spacing w:after="40"/>
            </w:pPr>
            <w:r>
              <w:rPr>
                <w:sz w:val="20"/>
              </w:rPr>
              <w:t>Quality &amp; Technical Standards: ISO 13485 (QMS), IEC 62304 (Software Lifecycle), ISO 14971 (Risk Management).</w:t>
            </w:r>
          </w:p>
          <w:p>
            <w:pPr>
              <w:pStyle w:val="ListBullet"/>
              <w:spacing w:after="40"/>
            </w:pPr>
            <w:r>
              <w:rPr>
                <w:sz w:val="20"/>
              </w:rPr>
              <w:t>Kemenkes Regulatory Sandbox: Dedicated Ministry of Health testing mechanism for innovative digital health solutions prior to full licensing.</w:t>
            </w:r>
          </w:p>
        </w:tc>
      </w:tr>
    </w:tbl>
    <w:p>
      <w:pPr>
        <w:spacing w:after="80"/>
      </w:pPr>
    </w:p>
    <w:p>
      <w:pPr>
        <w:pStyle w:val="ListBullet"/>
        <w:spacing w:after="60"/>
      </w:pPr>
      <w:r>
        <w:t>What medical device classification applies (Class I, IIa, IIb, III, or non-medical wellness app)?</w:t>
      </w:r>
    </w:p>
    <w:p>
      <w:pPr>
        <w:pStyle w:val="ListBullet"/>
        <w:spacing w:after="60"/>
      </w:pPr>
      <w:r>
        <w:t>Is the solution classified as Software as a Medical Device (SaMD), hardware-integrated SiMD, or digital wellness?</w:t>
      </w:r>
    </w:p>
    <w:p>
      <w:pPr>
        <w:pStyle w:val="ListBullet"/>
        <w:spacing w:after="60"/>
      </w:pPr>
      <w:r>
        <w:t>Is Regulatory Sandbox participation under Kemenkes RI appropriate or required for your innovation category?</w:t>
      </w:r>
    </w:p>
    <w:p>
      <w:pPr>
        <w:pStyle w:val="ListBullet"/>
        <w:spacing w:after="60"/>
      </w:pPr>
      <w:r>
        <w:t>What TKDN (Tingkat Komponen Dalam Negeri / Local Content) requirements apply to your software and hardware deployment?</w:t>
      </w:r>
    </w:p>
    <w:p>
      <w:pPr>
        <w:pStyle w:val="ListBullet"/>
        <w:spacing w:after="60"/>
      </w:pPr>
      <w:r>
        <w:t>What Quality Management Systems and international certifications are required (ISO 13485, IEC 62304, ISO 14971)?</w:t>
      </w:r>
    </w:p>
    <w:p>
      <w:pPr>
        <w:spacing w:before="200" w:after="40"/>
      </w:pPr>
      <w:r>
        <w:rPr>
          <w:rFonts w:ascii="Arial" w:hAnsi="Arial"/>
          <w:b/>
          <w:color w:val="1E3A8A"/>
          <w:sz w:val="22"/>
        </w:rPr>
        <w:t>Block 11: Clinical Governance</w:t>
      </w:r>
    </w:p>
    <w:p>
      <w:pPr>
        <w:pStyle w:val="ListBullet"/>
        <w:spacing w:after="60"/>
      </w:pPr>
      <w:r>
        <w:t>What clinical protocols govern the intervention?</w:t>
      </w:r>
    </w:p>
    <w:p>
      <w:pPr>
        <w:pStyle w:val="ListBullet"/>
        <w:spacing w:after="60"/>
      </w:pPr>
      <w:r>
        <w:t>How will clinical oversight and physician supervision be maintained?</w:t>
      </w:r>
    </w:p>
    <w:p>
      <w:pPr>
        <w:pStyle w:val="ListBullet"/>
        <w:spacing w:after="60"/>
      </w:pPr>
      <w:r>
        <w:t>What adverse event reporting and pharmacovigilance/device-vigilance mechanisms exist?</w:t>
      </w:r>
    </w:p>
    <w:p>
      <w:pPr>
        <w:pStyle w:val="ListBullet"/>
        <w:spacing w:after="60"/>
      </w:pPr>
      <w:r>
        <w:t>How does the intervention align with PNPK (Pedoman Nasional Pelayanan Kedokteran) clinical guidelines?</w:t>
      </w:r>
    </w:p>
    <w:p>
      <w:pPr>
        <w:spacing w:before="200" w:after="40"/>
      </w:pPr>
      <w:r>
        <w:rPr>
          <w:rFonts w:ascii="Arial" w:hAnsi="Arial"/>
          <w:b/>
          <w:color w:val="1E3A8A"/>
          <w:sz w:val="22"/>
        </w:rPr>
        <w:t>Block 12: Data Governance</w:t>
      </w:r>
    </w:p>
    <w:p>
      <w:pPr>
        <w:pStyle w:val="ListBullet"/>
        <w:spacing w:after="60"/>
      </w:pPr>
      <w:r>
        <w:t>How will you ensure compliance with UU PDP (Law No. 27/2022 on Personal Data Protection) and PP 71/2019?</w:t>
      </w:r>
    </w:p>
    <w:p>
      <w:pPr>
        <w:pStyle w:val="ListBullet"/>
        <w:spacing w:after="60"/>
      </w:pPr>
      <w:r>
        <w:t>What data minimization and anonymization/pseudonymization principles apply?</w:t>
      </w:r>
    </w:p>
    <w:p>
      <w:pPr>
        <w:pStyle w:val="ListBullet"/>
        <w:spacing w:after="60"/>
      </w:pPr>
      <w:r>
        <w:t>How will explicit patient consent be obtained, managed, and revoked?</w:t>
      </w:r>
    </w:p>
    <w:p>
      <w:pPr>
        <w:pStyle w:val="ListBullet"/>
        <w:spacing w:after="60"/>
      </w:pPr>
      <w:r>
        <w:t>What data retention, localization, and deletion policies are implemented?</w:t>
      </w:r>
    </w:p>
    <w:p>
      <w:pPr>
        <w:spacing w:before="200" w:after="40"/>
      </w:pPr>
      <w:r>
        <w:rPr>
          <w:rFonts w:ascii="Arial" w:hAnsi="Arial"/>
          <w:b/>
          <w:color w:val="1E3A8A"/>
          <w:sz w:val="22"/>
        </w:rPr>
        <w:t>Block 13: Tech Governance</w:t>
      </w:r>
    </w:p>
    <w:p>
      <w:pPr>
        <w:pStyle w:val="ListBullet"/>
        <w:spacing w:after="60"/>
      </w:pPr>
      <w:r>
        <w:t>What is the system architecture (cloud, on-premise, hybrid)?</w:t>
      </w:r>
    </w:p>
    <w:p>
      <w:pPr>
        <w:pStyle w:val="ListBullet"/>
        <w:spacing w:after="60"/>
      </w:pPr>
      <w:r>
        <w:t>What cybersecurity measures and standards apply (ISO 27001, end-to-end encryption, vulnerability testing)?</w:t>
      </w:r>
    </w:p>
    <w:p>
      <w:pPr>
        <w:pStyle w:val="ListBullet"/>
        <w:spacing w:after="60"/>
      </w:pPr>
      <w:r>
        <w:t>What API standards and gateway protocols are used for system integration?</w:t>
      </w:r>
    </w:p>
    <w:p>
      <w:pPr>
        <w:pStyle w:val="ListBullet"/>
        <w:spacing w:after="60"/>
      </w:pPr>
      <w:r>
        <w:t>What is the disaster recovery and business continuity plan (DR/BC)?</w:t>
      </w:r>
    </w:p>
    <w:p>
      <w:pPr>
        <w:pStyle w:val="ListBullet"/>
        <w:spacing w:after="60"/>
      </w:pPr>
      <w:r>
        <w:t>How will version control, patch deployment, and change management be handled?</w:t>
      </w:r>
    </w:p>
    <w:p>
      <w:pPr>
        <w:pStyle w:val="ListBullet"/>
        <w:spacing w:after="60"/>
      </w:pPr>
      <w:r>
        <w:t>What is the system uptime target, latency, and Service Level Agreement (SLA)?</w:t>
      </w:r>
    </w:p>
    <w:p>
      <w:pPr>
        <w:spacing w:before="280" w:after="80"/>
      </w:pPr>
      <w:r>
        <w:rPr>
          <w:rFonts w:ascii="Arial" w:hAnsi="Arial"/>
          <w:b/>
          <w:color w:val="0D9488"/>
          <w:sz w:val="26"/>
        </w:rPr>
        <w:t>DISCOVER Phase (Problem Space)</w:t>
      </w:r>
    </w:p>
    <w:p>
      <w:pPr>
        <w:spacing w:before="200" w:after="40"/>
      </w:pPr>
      <w:r>
        <w:rPr>
          <w:rFonts w:ascii="Arial" w:hAnsi="Arial"/>
          <w:b/>
          <w:color w:val="1E3A8A"/>
          <w:sz w:val="22"/>
        </w:rPr>
        <w:t>Block 1: Health Challenge</w:t>
      </w:r>
    </w:p>
    <w:p>
      <w:pPr>
        <w:pStyle w:val="ListBullet"/>
        <w:spacing w:after="60"/>
      </w:pPr>
      <w:r>
        <w:t>What specific health problem or clinical burden are you solving?</w:t>
      </w:r>
    </w:p>
    <w:p>
      <w:pPr>
        <w:pStyle w:val="ListBullet"/>
        <w:spacing w:after="60"/>
      </w:pPr>
      <w:r>
        <w:t>What is the current patient journey and primary pain points?</w:t>
      </w:r>
    </w:p>
    <w:p>
      <w:pPr>
        <w:pStyle w:val="ListBullet"/>
        <w:spacing w:after="60"/>
      </w:pPr>
      <w:r>
        <w:t>What epidemiological data and local burden-of-disease statistics support this need?</w:t>
      </w:r>
    </w:p>
    <w:p>
      <w:pPr>
        <w:pStyle w:val="ListBullet"/>
        <w:spacing w:after="60"/>
      </w:pPr>
      <w:r>
        <w:t>Why hasn't this been solved previously? What systemic or technical barriers exist?</w:t>
      </w:r>
    </w:p>
    <w:p>
      <w:pPr>
        <w:pStyle w:val="ListBullet"/>
        <w:spacing w:after="60"/>
      </w:pPr>
      <w:r>
        <w:t>How does this align with Renstra Kemenkes (Ministry of Health Strategic Plan) and SDGs?</w:t>
      </w:r>
    </w:p>
    <w:p>
      <w:pPr>
        <w:spacing w:before="200" w:after="40"/>
      </w:pPr>
      <w:r>
        <w:rPr>
          <w:rFonts w:ascii="Arial" w:hAnsi="Arial"/>
          <w:b/>
          <w:color w:val="1E3A8A"/>
          <w:sz w:val="22"/>
        </w:rPr>
        <w:t>Block 2: User Profiles</w:t>
      </w:r>
    </w:p>
    <w:p>
      <w:pPr>
        <w:pStyle w:val="ListBullet"/>
        <w:spacing w:after="60"/>
      </w:pPr>
      <w:r>
        <w:t>Who are the primary users (Patients, Healthcare Providers, or Administrators)?</w:t>
      </w:r>
    </w:p>
    <w:p>
      <w:pPr>
        <w:pStyle w:val="ListBullet"/>
        <w:spacing w:after="60"/>
      </w:pPr>
      <w:r>
        <w:t>What are their demographics, digital literacy levels, and access patterns?</w:t>
      </w:r>
    </w:p>
    <w:p>
      <w:pPr>
        <w:pStyle w:val="ListBullet"/>
        <w:spacing w:after="60"/>
      </w:pPr>
      <w:r>
        <w:t>What are their key behaviors, motivations, and operational constraints?</w:t>
      </w:r>
    </w:p>
    <w:p>
      <w:pPr>
        <w:pStyle w:val="ListBullet"/>
        <w:spacing w:after="60"/>
      </w:pPr>
      <w:r>
        <w:t>Indonesia context: Urban vs. rural divide, BPJS segment distribution, connectivity conditions?</w:t>
      </w:r>
    </w:p>
    <w:p>
      <w:pPr>
        <w:pStyle w:val="ListBullet"/>
        <w:spacing w:after="60"/>
      </w:pPr>
      <w:r>
        <w:t>Who are secondary users and beneficiary groups?</w:t>
      </w:r>
    </w:p>
    <w:p>
      <w:pPr>
        <w:spacing w:before="200" w:after="40"/>
      </w:pPr>
      <w:r>
        <w:rPr>
          <w:rFonts w:ascii="Arial" w:hAnsi="Arial"/>
          <w:b/>
          <w:color w:val="1E3A8A"/>
          <w:sz w:val="22"/>
        </w:rPr>
        <w:t>Block 3: Stakeholder Map</w:t>
      </w:r>
    </w:p>
    <w:p>
      <w:pPr>
        <w:pStyle w:val="ListBullet"/>
        <w:spacing w:after="60"/>
      </w:pPr>
      <w:r>
        <w:t>Government: Kemenkes RI, Komdigi, local health offices (Dinas Kesehatan)?</w:t>
      </w:r>
    </w:p>
    <w:p>
      <w:pPr>
        <w:pStyle w:val="ListBullet"/>
        <w:spacing w:after="60"/>
      </w:pPr>
      <w:r>
        <w:t>Clinical: Target hospitals, primary health centers (Puskesmas), professional societies (IDI, PDGI, IBI, PNAI), KOLs?</w:t>
      </w:r>
    </w:p>
    <w:p>
      <w:pPr>
        <w:pStyle w:val="ListBullet"/>
        <w:spacing w:after="60"/>
      </w:pPr>
      <w:r>
        <w:t>Payers: BPJS Kesehatan, commercial health insurers, out-of-pocket self-pay?</w:t>
      </w:r>
    </w:p>
    <w:p>
      <w:pPr>
        <w:pStyle w:val="ListBullet"/>
        <w:spacing w:after="60"/>
      </w:pPr>
      <w:r>
        <w:t>Industry: Pharmaceutical companies, medtech suppliers, telecommunication partners?</w:t>
      </w:r>
    </w:p>
    <w:p>
      <w:pPr>
        <w:pStyle w:val="ListBullet"/>
        <w:spacing w:after="60"/>
      </w:pPr>
      <w:r>
        <w:t>Academic &amp; Research: Universities, research institutes, clinical trial centers?</w:t>
      </w:r>
    </w:p>
    <w:p>
      <w:pPr>
        <w:spacing w:before="280" w:after="80"/>
      </w:pPr>
      <w:r>
        <w:rPr>
          <w:rFonts w:ascii="Arial" w:hAnsi="Arial"/>
          <w:b/>
          <w:color w:val="0D9488"/>
          <w:sz w:val="26"/>
        </w:rPr>
        <w:t>DESIGN Phase (Solution Space)</w:t>
      </w:r>
    </w:p>
    <w:p>
      <w:pPr>
        <w:spacing w:before="200" w:after="40"/>
      </w:pPr>
      <w:r>
        <w:rPr>
          <w:rFonts w:ascii="Arial" w:hAnsi="Arial"/>
          <w:b/>
          <w:color w:val="1E3A8A"/>
          <w:sz w:val="22"/>
        </w:rPr>
        <w:t>Block 4: Solution Architecture</w:t>
      </w:r>
    </w:p>
    <w:p>
      <w:pPr>
        <w:pStyle w:val="ListBullet"/>
        <w:spacing w:after="60"/>
      </w:pPr>
      <w:r>
        <w:t>Which digital health pillar: Digital Medicine, Digital Diagnostics, Digital Therapeutics (DTx), or Digital Wellness?</w:t>
      </w:r>
    </w:p>
    <w:p>
      <w:pPr>
        <w:pStyle w:val="ListBullet"/>
        <w:spacing w:after="60"/>
      </w:pPr>
      <w:r>
        <w:t>What is the core mechanism of action for the digital intervention?</w:t>
      </w:r>
    </w:p>
    <w:p>
      <w:pPr>
        <w:pStyle w:val="ListBullet"/>
        <w:spacing w:after="60"/>
      </w:pPr>
      <w:r>
        <w:t>Is the solution Software as a Medical Device (SaMD) only or hardware-integrated?</w:t>
      </w:r>
    </w:p>
    <w:p>
      <w:pPr>
        <w:pStyle w:val="ListBullet"/>
        <w:spacing w:after="60"/>
      </w:pPr>
      <w:r>
        <w:t>What risk classification applies (Class I, IIa, IIb, III)?</w:t>
      </w:r>
    </w:p>
    <w:p>
      <w:pPr>
        <w:pStyle w:val="ListBullet"/>
        <w:spacing w:after="60"/>
      </w:pPr>
      <w:r>
        <w:t>What digital biomarkers, clinical parameters, or endpoints are captured?</w:t>
      </w:r>
    </w:p>
    <w:p>
      <w:pPr>
        <w:spacing w:before="200" w:after="40"/>
      </w:pPr>
      <w:r>
        <w:rPr>
          <w:rFonts w:ascii="Arial" w:hAnsi="Arial"/>
          <w:b/>
          <w:color w:val="1E3A8A"/>
          <w:sz w:val="22"/>
        </w:rPr>
        <w:t>Block 5: User Experience</w:t>
      </w:r>
    </w:p>
    <w:p>
      <w:pPr>
        <w:pStyle w:val="ListBullet"/>
        <w:spacing w:after="60"/>
      </w:pPr>
      <w:r>
        <w:t>What are the core features, workflows, and key functionality?</w:t>
      </w:r>
    </w:p>
    <w:p>
      <w:pPr>
        <w:pStyle w:val="ListBullet"/>
        <w:spacing w:after="60"/>
      </w:pPr>
      <w:r>
        <w:t>What usability evaluation approach will be used (Nielsen heuristics, System Usability Scale / SUS score target)?</w:t>
      </w:r>
    </w:p>
    <w:p>
      <w:pPr>
        <w:pStyle w:val="ListBullet"/>
        <w:spacing w:after="60"/>
      </w:pPr>
      <w:r>
        <w:t>Accessibility: Full Bahasa Indonesia support, low-bandwidth mode, offline data caching?</w:t>
      </w:r>
    </w:p>
    <w:p>
      <w:pPr>
        <w:pStyle w:val="ListBullet"/>
        <w:spacing w:after="60"/>
      </w:pPr>
      <w:r>
        <w:t>What is the user engagement, onboarding, and retention strategy?</w:t>
      </w:r>
    </w:p>
    <w:p>
      <w:pPr>
        <w:pStyle w:val="ListBullet"/>
        <w:spacing w:after="60"/>
      </w:pPr>
      <w:r>
        <w:t>What technical architecture supports front-end user experience across web and mobile platforms?</w:t>
      </w:r>
    </w:p>
    <w:p>
      <w:pPr>
        <w:spacing w:before="200" w:after="40"/>
      </w:pPr>
      <w:r>
        <w:rPr>
          <w:rFonts w:ascii="Arial" w:hAnsi="Arial"/>
          <w:b/>
          <w:color w:val="1E3A8A"/>
          <w:sz w:val="22"/>
        </w:rPr>
        <w:t>Block 6: ENTERPRISE INTEROPERABILITY (Updated in v1.25)</w:t>
      </w:r>
    </w:p>
    <w:p>
      <w:r>
        <w:t>Broadens the canvas focus from single-point integration to comprehensive Enterprise Interoperability across the Indonesian healthcare ecosystem, encompassing national platforms, hospital systems, primary care centers, and clinical data standards.</w:t>
      </w:r>
    </w:p>
    <w:tbl>
      <w:tblPr>
        <w:tblW w:type="auto" w:w="0"/>
        <w:jc w:val="center"/>
        <w:tblLook w:firstColumn="1" w:firstRow="1" w:lastColumn="0" w:lastRow="0" w:noHBand="0" w:noVBand="1" w:val="04A0"/>
      </w:tblPr>
      <w:tblGrid>
        <w:gridCol w:w="9360"/>
      </w:tblGrid>
      <w:tr>
        <w:tc>
          <w:tcPr>
            <w:tcW w:type="dxa" w:w="9360"/>
            <w:shd w:fill="F0FDF4"/>
            <w:tcBorders>
              <w:top w:val="none" w:sz="0" w:space="0" w:color="auto"/>
              <w:left w:val="single" w:sz="24" w:space="0" w:color="0D9488"/>
              <w:bottom w:val="none" w:sz="0" w:space="0" w:color="auto"/>
              <w:right w:val="none" w:sz="0" w:space="0" w:color="auto"/>
            </w:tcBorders>
          </w:tcPr>
          <w:p>
            <w:pPr>
              <w:spacing w:after="80"/>
            </w:pPr>
            <w:r>
              <w:rPr>
                <w:b/>
                <w:color w:val="0D9488"/>
                <w:sz w:val="22"/>
              </w:rPr>
              <w:t>🔗 Enterprise Interoperability Four Pillars</w:t>
            </w:r>
          </w:p>
          <w:p>
            <w:pPr>
              <w:pStyle w:val="ListBullet"/>
              <w:spacing w:after="40"/>
            </w:pPr>
            <w:r>
              <w:rPr>
                <w:sz w:val="20"/>
              </w:rPr>
              <w:t>National Health Platform Interoperability (SATUSEHAT): HL7 FHIR R4 integration (Patient, Encounter, Condition, Observation, Procedure, MedicationRequest, DiagnosticReport, AllergyIntolerance).</w:t>
            </w:r>
          </w:p>
          <w:p>
            <w:pPr>
              <w:pStyle w:val="ListBullet"/>
              <w:spacing w:after="40"/>
            </w:pPr>
            <w:r>
              <w:rPr>
                <w:sz w:val="20"/>
              </w:rPr>
              <w:t>Facility System Interoperability (SIMRS &amp; PCare): Bi-directional data exchange with Hospital Information Systems (SIMRS), Primary Care systems (PCare/Puskesmas), LIS, RIS/PACS.</w:t>
            </w:r>
          </w:p>
          <w:p>
            <w:pPr>
              <w:pStyle w:val="ListBullet"/>
              <w:spacing w:after="40"/>
            </w:pPr>
            <w:r>
              <w:rPr>
                <w:sz w:val="20"/>
              </w:rPr>
              <w:t>Semantic &amp; Terminology Standardization: Aligning clinical coding with ICD-10 (diagnoses), ICD-9-CM (procedures), LOINC (labs), SNOMED CT (clinical terms), and KFA (national drug/device master data).</w:t>
            </w:r>
          </w:p>
          <w:p>
            <w:pPr>
              <w:pStyle w:val="ListBullet"/>
              <w:spacing w:after="40"/>
            </w:pPr>
            <w:r>
              <w:rPr>
                <w:sz w:val="20"/>
              </w:rPr>
              <w:t>Technical Readiness &amp; Security Architecture: API gateway, OAuth 2.0 security, TLS 1.3 encryption, async queuing for offline network resilience.</w:t>
            </w:r>
          </w:p>
        </w:tc>
      </w:tr>
    </w:tbl>
    <w:p>
      <w:pPr>
        <w:spacing w:after="80"/>
      </w:pPr>
    </w:p>
    <w:p>
      <w:pPr>
        <w:pStyle w:val="ListBullet"/>
        <w:spacing w:after="60"/>
      </w:pPr>
      <w:r>
        <w:t>What is your SATUSEHAT integration approach (data pipeline, API gateway, real-time vs batch synchronization)?</w:t>
      </w:r>
    </w:p>
    <w:p>
      <w:pPr>
        <w:pStyle w:val="ListBullet"/>
        <w:spacing w:after="60"/>
      </w:pPr>
      <w:r>
        <w:t>Which HL7 FHIR resources and profiles will you implement for national interoperability?</w:t>
      </w:r>
    </w:p>
    <w:p>
      <w:pPr>
        <w:pStyle w:val="ListBullet"/>
        <w:spacing w:after="60"/>
      </w:pPr>
      <w:r>
        <w:t>How will you achieve HL7 standards compliance and semantic interoperability using standardized coding dictionaries (ICD-10, LOINC, SNOMED CT, KFA)?</w:t>
      </w:r>
    </w:p>
    <w:p>
      <w:pPr>
        <w:pStyle w:val="ListBullet"/>
        <w:spacing w:after="60"/>
      </w:pPr>
      <w:r>
        <w:t>How does your solution integrate with healthcare facility enterprise systems (SIMRS, PCare, LIS, RIS/PACS)?</w:t>
      </w:r>
    </w:p>
    <w:p>
      <w:pPr>
        <w:pStyle w:val="ListBullet"/>
        <w:spacing w:after="60"/>
      </w:pPr>
      <w:r>
        <w:t>What is your technical readiness and architecture for enterprise interoperability (APIs, TLS/OAuth security, fallback queues)?</w:t>
      </w:r>
    </w:p>
    <w:p>
      <w:pPr>
        <w:spacing w:before="280" w:after="80"/>
      </w:pPr>
      <w:r>
        <w:rPr>
          <w:rFonts w:ascii="Arial" w:hAnsi="Arial"/>
          <w:b/>
          <w:color w:val="0D9488"/>
          <w:sz w:val="26"/>
        </w:rPr>
        <w:t>DELIVER Phase (Impact &amp; Scale)</w:t>
      </w:r>
    </w:p>
    <w:p>
      <w:pPr>
        <w:spacing w:before="200" w:after="40"/>
      </w:pPr>
      <w:r>
        <w:rPr>
          <w:rFonts w:ascii="Arial" w:hAnsi="Arial"/>
          <w:b/>
          <w:color w:val="1E3A8A"/>
          <w:sz w:val="22"/>
        </w:rPr>
        <w:t>Block 7: Evidence Plan</w:t>
      </w:r>
    </w:p>
    <w:p>
      <w:pPr>
        <w:pStyle w:val="ListBullet"/>
        <w:spacing w:after="60"/>
      </w:pPr>
      <w:r>
        <w:t>What is your evidence generation pathway: Feasibility Pilot → RCT → Real-World Evidence (RWE)?</w:t>
      </w:r>
    </w:p>
    <w:p>
      <w:pPr>
        <w:pStyle w:val="ListBullet"/>
        <w:spacing w:after="60"/>
      </w:pPr>
      <w:r>
        <w:t>What specific clinical endpoints and surrogate markers will demonstrate clinical efficacy?</w:t>
      </w:r>
    </w:p>
    <w:p>
      <w:pPr>
        <w:pStyle w:val="ListBullet"/>
        <w:spacing w:after="60"/>
      </w:pPr>
      <w:r>
        <w:t>What study design, statistical power, and sample size are required?</w:t>
      </w:r>
    </w:p>
    <w:p>
      <w:pPr>
        <w:pStyle w:val="ListBullet"/>
        <w:spacing w:after="60"/>
      </w:pPr>
      <w:r>
        <w:t>How will health economic evaluation and cost-effectiveness (ICER, QALYs) be measured?</w:t>
      </w:r>
    </w:p>
    <w:p>
      <w:pPr>
        <w:pStyle w:val="ListBullet"/>
        <w:spacing w:after="60"/>
      </w:pPr>
      <w:r>
        <w:t>What is the timeline, budget, and milestone roadmap for clinical evidence generation?</w:t>
      </w:r>
    </w:p>
    <w:p>
      <w:pPr>
        <w:spacing w:before="200" w:after="40"/>
      </w:pPr>
      <w:r>
        <w:rPr>
          <w:rFonts w:ascii="Arial" w:hAnsi="Arial"/>
          <w:b/>
          <w:color w:val="1E3A8A"/>
          <w:sz w:val="22"/>
        </w:rPr>
        <w:t>Block 8: Scale Strategy</w:t>
      </w:r>
    </w:p>
    <w:p>
      <w:pPr>
        <w:pStyle w:val="ListBullet"/>
        <w:spacing w:after="60"/>
      </w:pPr>
      <w:r>
        <w:t>What is your go-to-market strategy for the Indonesian healthcare market?</w:t>
      </w:r>
    </w:p>
    <w:p>
      <w:pPr>
        <w:pStyle w:val="ListBullet"/>
        <w:spacing w:after="60"/>
      </w:pPr>
      <w:r>
        <w:t>What pilot sites are selected (Top-tier hospitals, Puskesmas networks, private clinic chains)?</w:t>
      </w:r>
    </w:p>
    <w:p>
      <w:pPr>
        <w:pStyle w:val="ListBullet"/>
        <w:spacing w:after="60"/>
      </w:pPr>
      <w:r>
        <w:t>What change management framework will drive clinical adoption and overcome user inertia?</w:t>
      </w:r>
    </w:p>
    <w:p>
      <w:pPr>
        <w:pStyle w:val="ListBullet"/>
        <w:spacing w:after="60"/>
      </w:pPr>
      <w:r>
        <w:t>What training, onboarding, and ongoing technical support model will be established?</w:t>
      </w:r>
    </w:p>
    <w:p>
      <w:pPr>
        <w:pStyle w:val="ListBullet"/>
        <w:spacing w:after="60"/>
      </w:pPr>
      <w:r>
        <w:t>What is the expansion pathway from pilot validation to national-scale deployment?</w:t>
      </w:r>
    </w:p>
    <w:p>
      <w:pPr>
        <w:spacing w:before="200" w:after="40"/>
      </w:pPr>
      <w:r>
        <w:rPr>
          <w:rFonts w:ascii="Arial" w:hAnsi="Arial"/>
          <w:b/>
          <w:color w:val="1E3A8A"/>
          <w:sz w:val="22"/>
        </w:rPr>
        <w:t>Block 9: Business Model</w:t>
      </w:r>
    </w:p>
    <w:p>
      <w:pPr>
        <w:pStyle w:val="ListBullet"/>
        <w:spacing w:after="60"/>
      </w:pPr>
      <w:r>
        <w:t>What revenue model: B2B (Hospitals/Insurers), B2C (Direct to Consumer), or B2G (Government procurement)?</w:t>
      </w:r>
    </w:p>
    <w:p>
      <w:pPr>
        <w:pStyle w:val="ListBullet"/>
        <w:spacing w:after="60"/>
      </w:pPr>
      <w:r>
        <w:t>What BPJS Kesehatan reimbursement pathway applies (INA-CBGs tariff inclusion, Kapitasi incentives)?</w:t>
      </w:r>
    </w:p>
    <w:p>
      <w:pPr>
        <w:pStyle w:val="ListBullet"/>
        <w:spacing w:after="60"/>
      </w:pPr>
      <w:r>
        <w:t>What private insurance coverage and employer wellness strategy will be pursued?</w:t>
      </w:r>
    </w:p>
    <w:p>
      <w:pPr>
        <w:pStyle w:val="ListBullet"/>
        <w:spacing w:after="60"/>
      </w:pPr>
      <w:r>
        <w:t>What are the unit economics, cost structure, and gross margin projections?</w:t>
      </w:r>
    </w:p>
    <w:p>
      <w:pPr>
        <w:pStyle w:val="ListBullet"/>
        <w:spacing w:after="60"/>
      </w:pPr>
      <w:r>
        <w:t>What funding strategy will support operations (Grants, Venture Capital, Strategic Corporate Partners)?</w:t>
      </w:r>
    </w:p>
    <w:p>
      <w:pPr>
        <w:spacing w:before="280" w:after="80"/>
      </w:pPr>
      <w:r>
        <w:rPr>
          <w:rFonts w:ascii="Arial" w:hAnsi="Arial"/>
          <w:b/>
          <w:color w:val="0D9488"/>
          <w:sz w:val="26"/>
        </w:rPr>
        <w:t>VALUE ANCHOR — Quintuple Aim Outcomes</w:t>
      </w:r>
    </w:p>
    <w:p>
      <w:pPr>
        <w:pStyle w:val="ListBullet"/>
        <w:spacing w:after="60"/>
      </w:pPr>
      <w:r>
        <w:rPr>
          <w:b/>
          <w:color w:val="0F172A"/>
        </w:rPr>
        <w:t xml:space="preserve">1. Population Health: </w:t>
      </w:r>
      <w:r>
        <w:t>What measurable clinical outcomes and disease management metrics will improve at scale?</w:t>
      </w:r>
    </w:p>
    <w:p>
      <w:pPr>
        <w:pStyle w:val="ListBullet"/>
        <w:spacing w:after="60"/>
      </w:pPr>
      <w:r>
        <w:rPr>
          <w:b/>
          <w:color w:val="0F172A"/>
        </w:rPr>
        <w:t xml:space="preserve">2. Patient Experience: </w:t>
      </w:r>
      <w:r>
        <w:t>How will patient satisfaction, empowerment, care access, and treatment adherence increase?</w:t>
      </w:r>
    </w:p>
    <w:p>
      <w:pPr>
        <w:pStyle w:val="ListBullet"/>
        <w:spacing w:after="60"/>
      </w:pPr>
      <w:r>
        <w:rPr>
          <w:b/>
          <w:color w:val="0F172A"/>
        </w:rPr>
        <w:t xml:space="preserve">3. Provider Satisfaction: </w:t>
      </w:r>
      <w:r>
        <w:t>How will this streamline clinician workflow, reduce administrative burden, and prevent burnout?</w:t>
      </w:r>
    </w:p>
    <w:p>
      <w:pPr>
        <w:pStyle w:val="ListBullet"/>
        <w:spacing w:after="60"/>
      </w:pPr>
      <w:r>
        <w:rPr>
          <w:b/>
          <w:color w:val="0F172A"/>
        </w:rPr>
        <w:t xml:space="preserve">4. Cost Reduction: </w:t>
      </w:r>
      <w:r>
        <w:t>What operational efficiency gains, waste reduction, and healthcare cost savings are expected?</w:t>
      </w:r>
    </w:p>
    <w:p>
      <w:pPr>
        <w:pStyle w:val="ListBullet"/>
        <w:spacing w:after="60"/>
      </w:pPr>
      <w:r>
        <w:rPr>
          <w:b/>
          <w:color w:val="0F172A"/>
        </w:rPr>
        <w:t xml:space="preserve">5. Health Equity: </w:t>
      </w:r>
      <w:r>
        <w:t>How does this solution reduce healthcare disparities and extend access to underserved populations?</w:t>
      </w:r>
    </w:p>
    <w:p>
      <w:pPr>
        <w:spacing w:before="360" w:after="120"/>
      </w:pPr>
      <w:r>
        <w:rPr>
          <w:rFonts w:ascii="Arial" w:hAnsi="Arial"/>
          <w:b/>
          <w:color w:val="1E293B"/>
          <w:sz w:val="32"/>
        </w:rPr>
        <w:t>4. How to Use the Canvas</w:t>
      </w:r>
    </w:p>
    <w:p>
      <w:pPr>
        <w:spacing w:before="280" w:after="80"/>
      </w:pPr>
      <w:r>
        <w:rPr>
          <w:rFonts w:ascii="Arial" w:hAnsi="Arial"/>
          <w:b/>
          <w:color w:val="0D9488"/>
          <w:sz w:val="26"/>
        </w:rPr>
        <w:t>Workshop Format (2.5 - 3 Hours Agenda)</w:t>
      </w:r>
    </w:p>
    <w:p>
      <w:pPr>
        <w:pStyle w:val="ListBullet"/>
        <w:spacing w:after="60"/>
      </w:pPr>
      <w:r>
        <w:rPr>
          <w:b/>
          <w:color w:val="0F172A"/>
        </w:rPr>
        <w:t xml:space="preserve">1. Introduction (15 min): </w:t>
      </w:r>
      <w:r>
        <w:t>Overview of VDHIC framework, Governance Spine, and Quintuple Aim dimensions.</w:t>
      </w:r>
    </w:p>
    <w:p>
      <w:pPr>
        <w:pStyle w:val="ListBullet"/>
        <w:spacing w:after="60"/>
      </w:pPr>
      <w:r>
        <w:rPr>
          <w:b/>
          <w:color w:val="0F172A"/>
        </w:rPr>
        <w:t xml:space="preserve">2. Discover Phase (45 min): </w:t>
      </w:r>
      <w:r>
        <w:t>Work through Blocks 1-3 (Health Challenge, User Profiles, Stakeholder Map).</w:t>
      </w:r>
    </w:p>
    <w:p>
      <w:pPr>
        <w:pStyle w:val="ListBullet"/>
        <w:spacing w:after="60"/>
      </w:pPr>
      <w:r>
        <w:rPr>
          <w:b/>
          <w:color w:val="0F172A"/>
        </w:rPr>
        <w:t xml:space="preserve">3. Design Phase (45 min): </w:t>
      </w:r>
      <w:r>
        <w:t>Complete Blocks 4-6 (Solution Architecture, UX Design, Enterprise Interoperability).</w:t>
      </w:r>
    </w:p>
    <w:p>
      <w:pPr>
        <w:pStyle w:val="ListBullet"/>
        <w:spacing w:after="60"/>
      </w:pPr>
      <w:r>
        <w:rPr>
          <w:b/>
          <w:color w:val="0F172A"/>
        </w:rPr>
        <w:t xml:space="preserve">4. Deliver Phase (30 min): </w:t>
      </w:r>
      <w:r>
        <w:t>Outline Blocks 7-9 (Evidence Plan, Scale Strategy, Business Model).</w:t>
      </w:r>
    </w:p>
    <w:p>
      <w:pPr>
        <w:pStyle w:val="ListBullet"/>
        <w:spacing w:after="60"/>
      </w:pPr>
      <w:r>
        <w:rPr>
          <w:b/>
          <w:color w:val="0F172A"/>
        </w:rPr>
        <w:t>5. Governance Review (25 min): Stress-test solutions against Blocks 10-13 (Medical Device Classification, Clinical, Data, Tech Governance).</w:t>
      </w:r>
      <w:r/>
    </w:p>
    <w:p>
      <w:pPr>
        <w:pStyle w:val="ListBullet"/>
        <w:spacing w:after="60"/>
      </w:pPr>
      <w:r>
        <w:rPr>
          <w:b/>
          <w:color w:val="0F172A"/>
        </w:rPr>
        <w:t xml:space="preserve">6. Value Alignment (15 min): </w:t>
      </w:r>
      <w:r>
        <w:t>Map expected outcomes across all five Quintuple Aim dimensions.</w:t>
      </w:r>
    </w:p>
    <w:p>
      <w:pPr>
        <w:pStyle w:val="ListBullet"/>
        <w:spacing w:after="60"/>
      </w:pPr>
      <w:r>
        <w:rPr>
          <w:b/>
          <w:color w:val="0F172A"/>
        </w:rPr>
        <w:t xml:space="preserve">7. Wrap-up &amp; Action Plan (10 min): </w:t>
      </w:r>
      <w:r>
        <w:t>Identify critical validation gaps and assign immediate next steps.</w:t>
      </w:r>
    </w:p>
    <w:p>
      <w:pPr>
        <w:spacing w:before="280" w:after="80"/>
      </w:pPr>
      <w:r>
        <w:rPr>
          <w:rFonts w:ascii="Arial" w:hAnsi="Arial"/>
          <w:b/>
          <w:color w:val="0D9488"/>
          <w:sz w:val="26"/>
        </w:rPr>
        <w:t>Maturity Assessment Framework</w:t>
      </w:r>
    </w:p>
    <w:p>
      <w:pPr>
        <w:pStyle w:val="ListBullet"/>
        <w:spacing w:after="60"/>
      </w:pPr>
      <w:r>
        <w:rPr>
          <w:b/>
          <w:color w:val="0F172A"/>
        </w:rPr>
        <w:t xml:space="preserve">○ Concept: </w:t>
      </w:r>
      <w:r>
        <w:t>Hypothesis formulated, initial desk research, no empirical validation yet.</w:t>
      </w:r>
    </w:p>
    <w:p>
      <w:pPr>
        <w:pStyle w:val="ListBullet"/>
        <w:spacing w:after="60"/>
      </w:pPr>
      <w:r>
        <w:rPr>
          <w:b/>
          <w:color w:val="0F172A"/>
        </w:rPr>
        <w:t xml:space="preserve">◐ Validated: </w:t>
      </w:r>
      <w:r>
        <w:t>Assumptions tested with users/data, pilot evidence or prototype validation available.</w:t>
      </w:r>
    </w:p>
    <w:p>
      <w:pPr>
        <w:pStyle w:val="ListBullet"/>
        <w:spacing w:after="60"/>
      </w:pPr>
      <w:r>
        <w:rPr>
          <w:b/>
          <w:color w:val="0F172A"/>
        </w:rPr>
        <w:t xml:space="preserve">● Implemented: </w:t>
      </w:r>
      <w:r>
        <w:t>Deployed in live clinical/operational settings, active integration functioning.</w:t>
      </w:r>
    </w:p>
    <w:p>
      <w:pPr>
        <w:pStyle w:val="ListBullet"/>
        <w:spacing w:after="60"/>
      </w:pPr>
      <w:r>
        <w:rPr>
          <w:b/>
          <w:color w:val="0F172A"/>
        </w:rPr>
        <w:t xml:space="preserve">★ Scaled: </w:t>
      </w:r>
      <w:r>
        <w:t>Broad adoption achieved, national reach or significant health system penetration.</w:t>
      </w:r>
    </w:p>
    <w:p>
      <w:pPr>
        <w:spacing w:before="360" w:after="120"/>
      </w:pPr>
      <w:r>
        <w:rPr>
          <w:rFonts w:ascii="Arial" w:hAnsi="Arial"/>
          <w:b/>
          <w:color w:val="1E293B"/>
          <w:sz w:val="32"/>
        </w:rPr>
        <w:t>5. About &amp; Version Control</w:t>
      </w:r>
    </w:p>
    <w:p>
      <w:r>
        <w:t>The Value-Based Digital Health Innovation Canvas (VDHIC) was developed as part of the Australia Awards Fellowship 2025 at Monash University in collaboration with the Regulatory Sandbox Ministry of Health of the Republic of Indonesia. It translates complex health system transformation frameworks into an accessible, practical tool for innovators, regulators, and health leaders.</w:t>
      </w:r>
    </w:p>
    <w:p>
      <w:r>
        <w:rPr>
          <w:b/>
          <w:color w:val="64748B"/>
          <w:sz w:val="19"/>
        </w:rPr>
        <w:t>License: Creative Commons Attribution 4.0 International (CC BY 4.0). Version 1.25 (March 2026).</w:t>
      </w:r>
    </w:p>
    <w:p>
      <w:pPr>
        <w:spacing w:before="280" w:after="80"/>
      </w:pPr>
      <w:r>
        <w:rPr>
          <w:rFonts w:ascii="Arial" w:hAnsi="Arial"/>
          <w:b/>
          <w:color w:val="0D9488"/>
          <w:sz w:val="26"/>
        </w:rPr>
        <w:t>Version 1.25 Summary of Changes</w:t>
      </w:r>
    </w:p>
    <w:p>
      <w:pPr>
        <w:pStyle w:val="ListBullet"/>
        <w:spacing w:after="60"/>
      </w:pPr>
      <w:r>
        <w:rPr>
          <w:b/>
          <w:color w:val="0F172A"/>
        </w:rPr>
        <w:t xml:space="preserve">Governance Spine (Block 10): </w:t>
      </w:r>
      <w:r>
        <w:t>Refined from BPOM Classification to Medical Device Classification, providing comprehensive guidance on Software as a Medical Device (SaMD), Risk Classes I–III, ISO 13485/IEC 62304 standards, and Kemenkes Regulatory Sandbox pathways.</w:t>
      </w:r>
    </w:p>
    <w:p>
      <w:pPr>
        <w:pStyle w:val="ListBullet"/>
        <w:spacing w:after="60"/>
      </w:pPr>
      <w:r>
        <w:rPr>
          <w:b/>
          <w:color w:val="0F172A"/>
        </w:rPr>
        <w:t xml:space="preserve">Design Phase (Block 6): </w:t>
      </w:r>
      <w:r>
        <w:t>Broadened from SATUSEHAT Integration to Enterprise Interoperability, incorporating national platform FHIR API integration, hospital SIMRS, primary care PCare/Puskesmas integration, semantic terminology standards (ICD-10, LOINC, SNOMED CT, KFA), and enterprise API readiness.</w:t>
      </w:r>
    </w:p>
    <w:p>
      <w:pPr>
        <w:pStyle w:val="ListBullet"/>
        <w:spacing w:after="60"/>
      </w:pPr>
      <w:r>
        <w:rPr>
          <w:b/>
          <w:color w:val="0F172A"/>
        </w:rPr>
        <w:t xml:space="preserve">Institutional Affiliation: </w:t>
      </w:r>
      <w:r>
        <w:t>Updated to highlight collaboration with the Regulatory Sandbox Ministry of Health of the Republic of Indonesia.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415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