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365AA2" w:rsidRDefault="00365AA2" w:rsidP="00365AA2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365AA2" w:rsidRDefault="00365AA2" w:rsidP="00365AA2">
      <w:pPr>
        <w:pStyle w:val="HChG"/>
      </w:pPr>
      <w:r>
        <w:tab/>
      </w:r>
      <w:r>
        <w:tab/>
        <w:t xml:space="preserve">Перечень вопросов, предваряющий представление </w:t>
      </w:r>
      <w:r>
        <w:rPr>
          <w:color w:val="FF0000"/>
        </w:rPr>
        <w:t>[первоначального][(номер) периодического доклада] [объединенных (номер) периодических докладов] [страны]</w:t>
      </w:r>
      <w:r>
        <w:rPr>
          <w:b w:val="0"/>
          <w:sz w:val="20"/>
        </w:rPr>
        <w:footnoteReference w:customMarkFollows="1" w:id="1"/>
        <w:t>*</w:t>
      </w:r>
    </w:p>
    <w:p w:rsidR="00365AA2" w:rsidRDefault="00365AA2" w:rsidP="00365AA2">
      <w:pPr>
        <w:pStyle w:val="H1G"/>
      </w:pPr>
      <w:r>
        <w:tab/>
      </w:r>
      <w:r>
        <w:tab/>
        <w:t>Конкретная информация об осуществлении статей 1−16 Конвенции, в том числе в связи с предыдущими рекомендациями Комитета</w:t>
      </w:r>
    </w:p>
    <w:p w:rsidR="00365AA2" w:rsidRDefault="00365AA2" w:rsidP="00365AA2">
      <w:pPr>
        <w:pStyle w:val="H23G"/>
      </w:pPr>
      <w:r>
        <w:tab/>
      </w:r>
      <w:r>
        <w:tab/>
        <w:t>Статьи 1 и 4</w:t>
      </w:r>
    </w:p>
    <w:p w:rsidR="00365AA2" w:rsidRDefault="00365AA2" w:rsidP="00365AA2">
      <w:pPr>
        <w:pStyle w:val="SingleTxtG"/>
      </w:pPr>
      <w:r>
        <w:t>3.</w:t>
      </w:r>
      <w:r>
        <w:tab/>
        <w:t>В связи с предыдущими заключительными замечаниями Комитета (см.</w:t>
      </w:r>
      <w:r>
        <w:rPr>
          <w:lang w:val="en-US"/>
        </w:rPr>
        <w:t> </w:t>
      </w:r>
      <w:r>
        <w:rPr>
          <w:lang w:val="en-GB"/>
        </w:rPr>
        <w:t>CAT</w:t>
      </w:r>
      <w:r>
        <w:t>/</w:t>
      </w:r>
      <w:r>
        <w:rPr>
          <w:lang w:val="en-GB"/>
        </w:rPr>
        <w:t>C</w:t>
      </w:r>
      <w:r>
        <w:t>/</w:t>
      </w:r>
      <w:r>
        <w:rPr>
          <w:color w:val="FF0000"/>
          <w:lang w:val="en-GB"/>
        </w:rPr>
        <w:t>XXX</w:t>
      </w:r>
      <w:r>
        <w:t>/</w:t>
      </w:r>
      <w:r>
        <w:rPr>
          <w:lang w:val="en-GB"/>
        </w:rPr>
        <w:t>CO</w:t>
      </w:r>
      <w:r>
        <w:t>/</w:t>
      </w:r>
      <w:r>
        <w:rPr>
          <w:color w:val="FF0000"/>
          <w:lang w:val="en-GB"/>
        </w:rPr>
        <w:t>X</w:t>
      </w:r>
      <w:r>
        <w:t>, пункт 9)</w:t>
      </w:r>
      <w:r>
        <w:rPr>
          <w:sz w:val="18"/>
          <w:vertAlign w:val="superscript"/>
        </w:rPr>
        <w:footnoteReference w:id="2"/>
      </w:r>
      <w:r>
        <w:t>, просьба представить обновленную информацию относительно ...</w:t>
      </w:r>
    </w:p>
    <w:p w:rsidR="00365AA2" w:rsidRDefault="00365AA2" w:rsidP="00365AA2">
      <w:pPr>
        <w:pStyle w:val="H23G"/>
        <w:keepNext w:val="0"/>
        <w:keepLines w:val="0"/>
      </w:pPr>
      <w:r>
        <w:tab/>
      </w:r>
      <w:r>
        <w:tab/>
        <w:t>Статья 2</w:t>
      </w:r>
      <w:r>
        <w:rPr>
          <w:b w:val="0"/>
          <w:bCs/>
          <w:sz w:val="18"/>
          <w:vertAlign w:val="superscript"/>
        </w:rPr>
        <w:footnoteReference w:id="3"/>
      </w:r>
    </w:p>
    <w:p w:rsidR="00365AA2" w:rsidRDefault="00365AA2" w:rsidP="00365AA2">
      <w:pPr>
        <w:pStyle w:val="H23G"/>
        <w:keepNext w:val="0"/>
        <w:keepLines w:val="0"/>
      </w:pPr>
      <w:r>
        <w:tab/>
      </w:r>
      <w:r>
        <w:tab/>
        <w:t>Статья 3</w:t>
      </w:r>
    </w:p>
    <w:p w:rsidR="00365AA2" w:rsidRDefault="00365AA2" w:rsidP="00365AA2">
      <w:pPr>
        <w:pStyle w:val="H23G"/>
        <w:keepNext w:val="0"/>
        <w:keepLines w:val="0"/>
      </w:pPr>
      <w:r>
        <w:tab/>
      </w:r>
      <w:r>
        <w:tab/>
      </w:r>
      <w:r>
        <w:rPr>
          <w:color w:val="FF0000"/>
        </w:rPr>
        <w:t>[</w:t>
      </w:r>
      <w:r>
        <w:t>Статьи 5 и 7</w:t>
      </w:r>
      <w:r>
        <w:rPr>
          <w:color w:val="FF0000"/>
        </w:rPr>
        <w:t>] [</w:t>
      </w:r>
      <w:r>
        <w:t>Статьи 5–9</w:t>
      </w:r>
      <w:r>
        <w:rPr>
          <w:color w:val="FF0000"/>
        </w:rPr>
        <w:t>] [</w:t>
      </w:r>
      <w:r>
        <w:t>Статьи 5 и 7–8</w:t>
      </w:r>
      <w:r>
        <w:rPr>
          <w:color w:val="FF0000"/>
        </w:rPr>
        <w:t>] [</w:t>
      </w:r>
      <w:r>
        <w:t>Статьи 5–8</w:t>
      </w:r>
      <w:r>
        <w:rPr>
          <w:color w:val="FF0000"/>
        </w:rPr>
        <w:t>]</w:t>
      </w:r>
    </w:p>
    <w:p w:rsidR="00365AA2" w:rsidRDefault="00365AA2" w:rsidP="00365AA2">
      <w:pPr>
        <w:pStyle w:val="H23G"/>
      </w:pPr>
      <w:r>
        <w:lastRenderedPageBreak/>
        <w:tab/>
      </w:r>
      <w:r>
        <w:tab/>
        <w:t xml:space="preserve">Статья 10 </w:t>
      </w:r>
    </w:p>
    <w:p w:rsidR="00365AA2" w:rsidRDefault="00365AA2" w:rsidP="00365AA2">
      <w:pPr>
        <w:pStyle w:val="H23G"/>
      </w:pPr>
      <w:r>
        <w:tab/>
      </w:r>
      <w:r>
        <w:tab/>
        <w:t>Статья 11</w:t>
      </w:r>
    </w:p>
    <w:p w:rsidR="00365AA2" w:rsidRDefault="00365AA2" w:rsidP="00365AA2">
      <w:pPr>
        <w:pStyle w:val="H23G"/>
      </w:pPr>
      <w:r>
        <w:tab/>
      </w:r>
      <w:r>
        <w:tab/>
      </w:r>
      <w:r>
        <w:rPr>
          <w:color w:val="FF0000"/>
        </w:rPr>
        <w:t>[</w:t>
      </w:r>
      <w:r>
        <w:t>Статьи 12</w:t>
      </w:r>
      <w:r>
        <w:rPr>
          <w:lang w:val="en-US"/>
        </w:rPr>
        <w:t>–</w:t>
      </w:r>
      <w:r>
        <w:t>13</w:t>
      </w:r>
      <w:r>
        <w:rPr>
          <w:color w:val="FF0000"/>
        </w:rPr>
        <w:t>]</w:t>
      </w:r>
      <w:r>
        <w:t xml:space="preserve"> </w:t>
      </w:r>
      <w:r>
        <w:rPr>
          <w:color w:val="FF0000"/>
        </w:rPr>
        <w:t>[</w:t>
      </w:r>
      <w:r>
        <w:t>Статьи 11</w:t>
      </w:r>
      <w:r>
        <w:rPr>
          <w:lang w:val="en-US"/>
        </w:rPr>
        <w:t>–</w:t>
      </w:r>
      <w:r>
        <w:t>13</w:t>
      </w:r>
      <w:r>
        <w:rPr>
          <w:color w:val="FF0000"/>
        </w:rPr>
        <w:t>]</w:t>
      </w:r>
    </w:p>
    <w:p w:rsidR="00365AA2" w:rsidRDefault="00365AA2" w:rsidP="00365AA2">
      <w:pPr>
        <w:pStyle w:val="H23G"/>
      </w:pPr>
      <w:r>
        <w:tab/>
      </w:r>
      <w:r>
        <w:tab/>
        <w:t>Статья 14</w:t>
      </w:r>
    </w:p>
    <w:p w:rsidR="00365AA2" w:rsidRDefault="00365AA2" w:rsidP="00365AA2">
      <w:pPr>
        <w:pStyle w:val="H23G"/>
      </w:pPr>
      <w:r>
        <w:tab/>
      </w:r>
      <w:r>
        <w:tab/>
        <w:t>Статья 15</w:t>
      </w:r>
    </w:p>
    <w:p w:rsidR="00365AA2" w:rsidRDefault="00365AA2" w:rsidP="00365AA2">
      <w:pPr>
        <w:pStyle w:val="H23G"/>
      </w:pPr>
      <w:r>
        <w:tab/>
      </w:r>
      <w:r>
        <w:tab/>
        <w:t>Статья 16</w:t>
      </w:r>
    </w:p>
    <w:p w:rsidR="00365AA2" w:rsidRDefault="00365AA2" w:rsidP="00365AA2">
      <w:pPr>
        <w:pStyle w:val="H1G"/>
      </w:pPr>
      <w:r>
        <w:tab/>
      </w:r>
      <w:r>
        <w:tab/>
        <w:t>Сбор данных</w:t>
      </w:r>
      <w:r>
        <w:rPr>
          <w:highlight w:val="yellow"/>
        </w:rPr>
        <w:t>[[Не всегда включается.]]</w:t>
      </w:r>
    </w:p>
    <w:p w:rsidR="00365AA2" w:rsidRDefault="00365AA2" w:rsidP="00365AA2">
      <w:pPr>
        <w:pStyle w:val="H1G"/>
        <w:rPr>
          <w:bCs/>
        </w:rPr>
      </w:pPr>
      <w:r>
        <w:tab/>
      </w:r>
      <w:r>
        <w:tab/>
        <w:t xml:space="preserve">Прочие вопросы </w:t>
      </w:r>
    </w:p>
    <w:p w:rsidR="00365AA2" w:rsidRDefault="00365AA2" w:rsidP="00365AA2">
      <w:pPr>
        <w:pStyle w:val="SingleTxtG"/>
      </w:pPr>
      <w:r>
        <w:t>14.</w:t>
      </w:r>
      <w:r>
        <w:tab/>
        <w:t xml:space="preserve">Просьба представить обновленную информацию относительно мер, принятых государством-участником в ответ на угрозы терроризма, а также сообщить, затрагиваются ли этими антитеррористическими мерами гарантии защиты прав человека в законодательстве и на практике, и если да, то каким образом. Просьба сообщить, как государство-участник обеспечивало соответствие этих мер всем своим обязательствам по международному праву, и особенно по Конвенции, во исполнение соответствующих резолюций Совета Безопасности, в частности резолюции 1624 (2005). Просьба представить информацию о соответствующей подготовке, организуемой для сотрудников правоохранительных органов; </w:t>
      </w:r>
      <w:r>
        <w:rPr>
          <w:color w:val="FF0000"/>
        </w:rPr>
        <w:t xml:space="preserve">[количестве осужденных лиц] [количестве и видах обвинительных приговоров, вынесенных] </w:t>
      </w:r>
      <w:r>
        <w:t xml:space="preserve">в соответствии с таким законодательством; средствах правовой защиты и гарантиях, имеющихся в распоряжении лиц, которые подверглись антитеррористическим мерам, </w:t>
      </w:r>
      <w:r>
        <w:rPr>
          <w:color w:val="FF0000"/>
        </w:rPr>
        <w:t>[в законодательстве и на практике]</w:t>
      </w:r>
      <w:r>
        <w:t xml:space="preserve">; наличии жалоб на несоблюдение международных стандартов; и результатах рассмотрения этих жалоб. </w:t>
      </w:r>
    </w:p>
    <w:p w:rsidR="00365AA2" w:rsidRDefault="00365AA2" w:rsidP="00365AA2">
      <w:pPr>
        <w:pStyle w:val="H1G"/>
      </w:pPr>
      <w:r>
        <w:tab/>
      </w:r>
      <w:r>
        <w:tab/>
      </w:r>
      <w:r>
        <w:rPr>
          <w:color w:val="FF0000"/>
        </w:rPr>
        <w:t>[</w:t>
      </w:r>
      <w:r>
        <w:t>Общая информация о других мерах и изменениях, связанных с осуществлением Конвенции в государстве-участнике</w:t>
      </w:r>
      <w:r>
        <w:rPr>
          <w:color w:val="FF0000"/>
        </w:rPr>
        <w:t>] [</w:t>
      </w:r>
      <w:r>
        <w:t>Общая информация о положении в области прав человека в стране, включая новые меры и изменения, связанные с осуществлением Конвенции</w:t>
      </w:r>
      <w:r>
        <w:rPr>
          <w:color w:val="FF0000"/>
        </w:rPr>
        <w:t>]</w:t>
      </w:r>
    </w:p>
    <w:p w:rsidR="00042308" w:rsidRPr="001C3ED4" w:rsidRDefault="00365AA2" w:rsidP="007D5224">
      <w:pPr>
        <w:spacing w:before="240"/>
        <w:jc w:val="center"/>
        <w:rPr>
          <w:lang w:val="es-ES" w:eastAsia="ru-RU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sectPr w:rsidR="00042308" w:rsidRPr="001C3ED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7D522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65AA2" w:rsidRDefault="00365AA2" w:rsidP="00365AA2">
      <w:pPr>
        <w:pStyle w:val="Notedebasdepage"/>
        <w:rPr>
          <w:lang w:val="ru-RU"/>
        </w:rPr>
      </w:pPr>
      <w:r>
        <w:rPr>
          <w:lang w:val="ru-RU"/>
        </w:rPr>
        <w:tab/>
      </w:r>
      <w:r w:rsidRPr="00365AA2">
        <w:rPr>
          <w:sz w:val="20"/>
          <w:lang w:val="ru-RU"/>
        </w:rPr>
        <w:t>*</w:t>
      </w:r>
      <w:r>
        <w:rPr>
          <w:lang w:val="ru-RU"/>
        </w:rPr>
        <w:tab/>
        <w:t xml:space="preserve">Принят Комитетом на его </w:t>
      </w:r>
      <w:r>
        <w:rPr>
          <w:color w:val="FF0000"/>
          <w:lang w:val="ru-RU"/>
        </w:rPr>
        <w:t>(номер)</w:t>
      </w:r>
      <w:r>
        <w:rPr>
          <w:lang w:val="ru-RU"/>
        </w:rPr>
        <w:t xml:space="preserve"> сессии </w:t>
      </w:r>
      <w:r>
        <w:rPr>
          <w:color w:val="FF0000"/>
          <w:lang w:val="ru-RU"/>
        </w:rPr>
        <w:t>(даты)</w:t>
      </w:r>
      <w:r>
        <w:rPr>
          <w:lang w:val="ru-RU"/>
        </w:rPr>
        <w:t>.</w:t>
      </w:r>
    </w:p>
  </w:footnote>
  <w:footnote w:id="2">
    <w:p w:rsidR="00365AA2" w:rsidRDefault="00365AA2" w:rsidP="00365AA2">
      <w:pPr>
        <w:pStyle w:val="Notedebasdepage"/>
        <w:rPr>
          <w:lang w:val="ru-RU"/>
        </w:rPr>
      </w:pPr>
      <w:r>
        <w:rPr>
          <w:lang w:val="ru-RU"/>
        </w:rPr>
        <w:tab/>
      </w:r>
      <w:r>
        <w:rPr>
          <w:rStyle w:val="Appelnotedebasdep"/>
          <w:lang w:val="ru-RU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ab/>
        <w:t>Если не указано иное, номера пунктов в скобках относятся к предыдущим заключительным замечаниям, принятым Комитетом.</w:t>
      </w:r>
    </w:p>
  </w:footnote>
  <w:footnote w:id="3">
    <w:p w:rsidR="00365AA2" w:rsidRDefault="00365AA2" w:rsidP="00365AA2">
      <w:pPr>
        <w:pStyle w:val="Notedebasdepage"/>
        <w:rPr>
          <w:lang w:val="es-ES"/>
        </w:rPr>
      </w:pPr>
      <w:r>
        <w:rPr>
          <w:lang w:val="ru-RU"/>
        </w:rPr>
        <w:tab/>
      </w:r>
      <w:r>
        <w:rPr>
          <w:rStyle w:val="Appelnotedebasdep"/>
          <w:lang w:val="ru-RU"/>
        </w:rPr>
        <w:footnoteRef/>
      </w:r>
      <w:r>
        <w:rPr>
          <w:lang w:val="ru-RU"/>
        </w:rPr>
        <w:tab/>
        <w:t>Вопросы, поднимаемые в разделе, посвященном статье 2, могут касаться также и других статей Конвенции, в том числе статьи 16. Как было указано в пункте 3 замечания общего порядка № 2 (2007) Комитета об имплементации статьи 2 государствами-участниками, закрепленное в статье 2 обязательство предупреждать пытки имеет широкую сферу охвата. Обязательства в отношении предупреждения пыток и других жестоких, бесчеловечных или унижающих достоинство видов обращения и наказания в соответствии с пунктом 1 статьи 16 являются неделимыми, взаимозависимыми и взаимосвязанными. Обязательство предупреждать такое неправомерное обращение на практике перекликается и в значительной мере совпадает с обязательством предупреждать пытки. На практике граница между неправомерным обращением и пытками нередко является размытой. См. также главу V упомянутого замечания общего порядка.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65AA2"/>
    <w:rsid w:val="00372478"/>
    <w:rsid w:val="00374EC6"/>
    <w:rsid w:val="00381C24"/>
    <w:rsid w:val="00393C46"/>
    <w:rsid w:val="003958D0"/>
    <w:rsid w:val="003A2F85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D5224"/>
    <w:rsid w:val="00807BE3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831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C78E0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ECAD-DC88-4289-B90B-B759A53A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2144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3</cp:revision>
  <cp:lastPrinted>2017-07-04T10:34:00Z</cp:lastPrinted>
  <dcterms:created xsi:type="dcterms:W3CDTF">2018-06-18T09:36:00Z</dcterms:created>
  <dcterms:modified xsi:type="dcterms:W3CDTF">2018-06-19T07:52:00Z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