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024732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024732">
              <w:rPr>
                <w:sz w:val="40"/>
                <w:lang w:val="fr-FR"/>
              </w:rPr>
              <w:t>CPR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024732" w:rsidRPr="00024732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ru-RU" w:eastAsia="ru-RU"/>
              </w:rPr>
              <w:drawing>
                <wp:inline distT="0" distB="0" distL="0" distR="0" wp14:anchorId="7AE485AE" wp14:editId="2BE96457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024732" w:rsidRPr="00ED7442" w:rsidRDefault="00024732" w:rsidP="00024732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ED7442">
              <w:rPr>
                <w:rFonts w:hint="cs"/>
                <w:b/>
                <w:bCs/>
                <w:sz w:val="56"/>
                <w:szCs w:val="56"/>
                <w:rtl/>
              </w:rPr>
              <w:t>العهد الدولي الخاص بالحقوق المدنية والسياسية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024732" w:rsidRPr="000C196E" w:rsidRDefault="00024732" w:rsidP="00024732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proofErr w:type="spellStart"/>
            <w:r w:rsidRPr="000C196E">
              <w:rPr>
                <w:lang w:val="fr-CH"/>
              </w:rPr>
              <w:t>Distr</w:t>
            </w:r>
            <w:proofErr w:type="spellEnd"/>
            <w:proofErr w:type="gramStart"/>
            <w:r w:rsidRPr="000C196E">
              <w:rPr>
                <w:lang w:val="fr-CH"/>
              </w:rPr>
              <w:t>.:</w:t>
            </w:r>
            <w:proofErr w:type="gramEnd"/>
            <w:r w:rsidRPr="000C196E">
              <w:rPr>
                <w:lang w:val="fr-CH"/>
              </w:rPr>
              <w:t xml:space="preserve">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024732" w:rsidRPr="000C196E" w:rsidRDefault="00024732" w:rsidP="00024732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0C196E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0C196E">
              <w:rPr>
                <w:lang w:val="fr-CH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024732" w:rsidRPr="000C196E" w:rsidRDefault="00024732" w:rsidP="00024732">
            <w:pPr>
              <w:bidi w:val="0"/>
              <w:jc w:val="left"/>
              <w:rPr>
                <w:lang w:val="fr-CH"/>
              </w:rPr>
            </w:pPr>
            <w:proofErr w:type="gramStart"/>
            <w:r w:rsidRPr="000C196E">
              <w:rPr>
                <w:lang w:val="fr-CH"/>
              </w:rPr>
              <w:t>Original:</w:t>
            </w:r>
            <w:proofErr w:type="gramEnd"/>
            <w:r w:rsidRPr="000C196E">
              <w:rPr>
                <w:lang w:val="fr-CH"/>
              </w:rPr>
              <w:t xml:space="preserve">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024732" w:rsidRPr="00024732" w:rsidRDefault="00024732" w:rsidP="00024732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Pr="00024732">
              <w:rPr>
                <w:lang w:val="fr-CH"/>
              </w:rPr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462D9B" w:rsidRPr="00374625" w:rsidRDefault="00462D9B" w:rsidP="00462D9B">
      <w:pPr>
        <w:spacing w:before="120" w:line="380" w:lineRule="exact"/>
        <w:rPr>
          <w:b/>
          <w:bCs/>
          <w:sz w:val="30"/>
          <w:szCs w:val="36"/>
          <w:rtl/>
          <w:lang w:eastAsia="zh-TW"/>
        </w:rPr>
      </w:pPr>
      <w:r w:rsidRPr="00374625">
        <w:rPr>
          <w:b/>
          <w:bCs/>
          <w:sz w:val="26"/>
          <w:szCs w:val="36"/>
          <w:rtl/>
          <w:lang w:eastAsia="zh-TW"/>
        </w:rPr>
        <w:t>اللجنة المعنية بحقوق الإنسان</w:t>
      </w:r>
    </w:p>
    <w:p w:rsidR="00462D9B" w:rsidRPr="00171238" w:rsidRDefault="00462D9B" w:rsidP="00462D9B">
      <w:pPr>
        <w:pStyle w:val="HCh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>
        <w:rPr>
          <w:rFonts w:hint="cs"/>
          <w:rtl/>
          <w:lang w:eastAsia="zh-TW"/>
        </w:rPr>
        <w:tab/>
      </w:r>
      <w:r w:rsidRPr="00171238">
        <w:rPr>
          <w:rtl/>
          <w:lang w:eastAsia="zh-TW"/>
        </w:rPr>
        <w:t xml:space="preserve">قائمة المسائل المحالة قبل تقديم التقرير </w:t>
      </w:r>
      <w:r w:rsidRPr="00374625">
        <w:rPr>
          <w:color w:val="FF0000"/>
          <w:rtl/>
          <w:lang w:eastAsia="zh-TW"/>
        </w:rPr>
        <w:t>[الأولي] [الدوري [الرقم]] [الجامع للتقارير الدورية [الرقم]]</w:t>
      </w:r>
      <w:r w:rsidRPr="00171238">
        <w:rPr>
          <w:rtl/>
          <w:lang w:eastAsia="zh-TW"/>
        </w:rPr>
        <w:t xml:space="preserve"> لـ </w:t>
      </w:r>
      <w:r w:rsidRPr="00374625">
        <w:rPr>
          <w:color w:val="FF0000"/>
          <w:rtl/>
          <w:lang w:eastAsia="zh-TW"/>
        </w:rPr>
        <w:t>[البلد]</w:t>
      </w:r>
      <w:r w:rsidRPr="009E670E">
        <w:rPr>
          <w:rStyle w:val="FootnoteReference"/>
          <w:sz w:val="20"/>
          <w:vertAlign w:val="baseline"/>
          <w:rtl/>
          <w:lang w:eastAsia="zh-TW"/>
        </w:rPr>
        <w:footnoteReference w:customMarkFollows="1" w:id="1"/>
        <w:t>*</w:t>
      </w:r>
    </w:p>
    <w:p w:rsidR="00462D9B" w:rsidRPr="00171238" w:rsidRDefault="00462D9B" w:rsidP="00462D9B">
      <w:pPr>
        <w:pStyle w:val="H1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171238">
        <w:rPr>
          <w:rtl/>
          <w:lang w:eastAsia="zh-TW"/>
        </w:rPr>
        <w:t>ألف-</w:t>
      </w:r>
      <w:r>
        <w:rPr>
          <w:rFonts w:hint="cs"/>
          <w:rtl/>
          <w:lang w:eastAsia="zh-TW"/>
        </w:rPr>
        <w:tab/>
      </w:r>
      <w:r w:rsidRPr="00171238">
        <w:rPr>
          <w:rtl/>
          <w:lang w:eastAsia="zh-TW"/>
        </w:rPr>
        <w:t>معلومات عامة عن حالة حقوق الإنسان</w:t>
      </w:r>
      <w:r>
        <w:rPr>
          <w:rtl/>
          <w:lang w:eastAsia="zh-TW"/>
        </w:rPr>
        <w:t xml:space="preserve"> على الصعيد الوطني</w:t>
      </w:r>
      <w:r w:rsidRPr="00171238">
        <w:rPr>
          <w:rtl/>
          <w:lang w:eastAsia="zh-TW"/>
        </w:rPr>
        <w:t>، بما في ذلك التدابير والتطورات الجديدة المتصلة بتنفيذ العهد</w:t>
      </w:r>
    </w:p>
    <w:p w:rsidR="00462D9B" w:rsidRPr="00F04529" w:rsidRDefault="00462D9B" w:rsidP="00462D9B">
      <w:pPr>
        <w:pStyle w:val="SingleTxtGA"/>
        <w:rPr>
          <w:rtl/>
          <w:lang w:eastAsia="zh-TW"/>
        </w:rPr>
      </w:pPr>
      <w:r>
        <w:rPr>
          <w:rtl/>
          <w:lang w:eastAsia="zh-TW"/>
        </w:rPr>
        <w:t>١</w:t>
      </w:r>
      <w:r>
        <w:rPr>
          <w:rFonts w:hint="cs"/>
          <w:rtl/>
          <w:lang w:eastAsia="zh-TW"/>
        </w:rPr>
        <w:t>-</w:t>
      </w:r>
      <w:r>
        <w:rPr>
          <w:rFonts w:hint="cs"/>
          <w:rtl/>
          <w:lang w:eastAsia="zh-TW"/>
        </w:rPr>
        <w:tab/>
      </w:r>
      <w:r>
        <w:rPr>
          <w:rtl/>
          <w:lang w:eastAsia="zh-TW"/>
        </w:rPr>
        <w:t>يرُجى تقديم معلومات عن التدابير المتخذة لتنفيذ التوصيات الواردة في الملاحظات الختامية السابقة للجنة (</w:t>
      </w:r>
      <w:r w:rsidRPr="00EC78C7">
        <w:t>CCPR/C/</w:t>
      </w:r>
      <w:r w:rsidRPr="00FC3D73">
        <w:rPr>
          <w:color w:val="FF0000"/>
        </w:rPr>
        <w:t>XXX</w:t>
      </w:r>
      <w:r>
        <w:t>/</w:t>
      </w:r>
      <w:r w:rsidRPr="00EC78C7">
        <w:t>CO/</w:t>
      </w:r>
      <w:r w:rsidRPr="00FC3D73">
        <w:rPr>
          <w:color w:val="FF0000"/>
        </w:rPr>
        <w:t>Y</w:t>
      </w:r>
      <w:r>
        <w:rPr>
          <w:rtl/>
          <w:lang w:eastAsia="zh-TW"/>
        </w:rPr>
        <w:t xml:space="preserve">) </w:t>
      </w:r>
      <w:r w:rsidRPr="002467D6">
        <w:rPr>
          <w:color w:val="FF0000"/>
          <w:rtl/>
          <w:lang w:eastAsia="zh-TW"/>
        </w:rPr>
        <w:t>[، بما في ذلك أي بيانات إحصائية ذات صلة]</w:t>
      </w:r>
      <w:r>
        <w:rPr>
          <w:rtl/>
          <w:lang w:eastAsia="zh-TW"/>
        </w:rPr>
        <w:t xml:space="preserve">. يرُجى بيان الإجراءات القائمة لتنفيذ آراء اللجنة بموجب البروتوكول الاختياري وتقديم معلومات عن التدابير المتخذة لضمان الامتثال التام لكل رأي من الآراء المعتمدة فيما يخص الدولة الطرف. </w:t>
      </w:r>
      <w:r w:rsidRPr="00691FBD">
        <w:rPr>
          <w:b/>
          <w:bCs/>
          <w:highlight w:val="yellow"/>
          <w:rtl/>
          <w:lang w:eastAsia="zh-TW"/>
        </w:rPr>
        <w:t>[[قد تدرَج آراء محددة</w:t>
      </w:r>
      <w:r>
        <w:rPr>
          <w:b/>
          <w:bCs/>
          <w:highlight w:val="yellow"/>
          <w:rtl/>
          <w:lang w:eastAsia="zh-TW"/>
        </w:rPr>
        <w:t>.</w:t>
      </w:r>
      <w:r w:rsidRPr="00691FBD">
        <w:rPr>
          <w:b/>
          <w:bCs/>
          <w:highlight w:val="yellow"/>
          <w:rtl/>
          <w:lang w:eastAsia="zh-TW"/>
        </w:rPr>
        <w:t>]]</w:t>
      </w:r>
    </w:p>
    <w:p w:rsidR="00462D9B" w:rsidRPr="00F04529" w:rsidRDefault="00462D9B" w:rsidP="00462D9B">
      <w:pPr>
        <w:pStyle w:val="SingleTxtGA"/>
        <w:rPr>
          <w:rtl/>
          <w:lang w:eastAsia="zh-TW"/>
        </w:rPr>
      </w:pPr>
      <w:r>
        <w:rPr>
          <w:rtl/>
          <w:lang w:eastAsia="zh-TW"/>
        </w:rPr>
        <w:t>٢</w:t>
      </w:r>
      <w:r>
        <w:rPr>
          <w:rFonts w:hint="cs"/>
          <w:rtl/>
          <w:lang w:eastAsia="zh-TW"/>
        </w:rPr>
        <w:t>-</w:t>
      </w:r>
      <w:r>
        <w:rPr>
          <w:rFonts w:hint="cs"/>
          <w:rtl/>
          <w:lang w:eastAsia="zh-TW"/>
        </w:rPr>
        <w:tab/>
      </w:r>
      <w:r>
        <w:rPr>
          <w:rtl/>
          <w:lang w:eastAsia="zh-TW"/>
        </w:rPr>
        <w:t>يُرجى الإبلاغ عن أي تطورات هامة أخرى استجدت، منذ اعتماد الملاحظات الختامية السابقة، في الإطار القانوني والمؤسسي الذي يجري ضمنه تعزيز حقوق الإنسا</w:t>
      </w:r>
      <w:bookmarkStart w:id="0" w:name="_GoBack"/>
      <w:bookmarkEnd w:id="0"/>
      <w:r>
        <w:rPr>
          <w:rtl/>
          <w:lang w:eastAsia="zh-TW"/>
        </w:rPr>
        <w:t>ن وحمايتها، بما في ذلك أمثلة عن قضايا رجعت فيها المحاكم الوطنية إلى أحكام العهد.</w:t>
      </w:r>
    </w:p>
    <w:p w:rsidR="00462D9B" w:rsidRPr="00691FBD" w:rsidRDefault="00462D9B" w:rsidP="00462D9B">
      <w:pPr>
        <w:pStyle w:val="H1GA"/>
        <w:rPr>
          <w:rtl/>
          <w:lang w:eastAsia="zh-TW"/>
        </w:rPr>
      </w:pPr>
      <w:r>
        <w:rPr>
          <w:rFonts w:hint="cs"/>
          <w:rtl/>
          <w:lang w:eastAsia="zh-TW"/>
        </w:rPr>
        <w:tab/>
      </w:r>
      <w:r w:rsidRPr="00691FBD">
        <w:rPr>
          <w:rtl/>
          <w:lang w:eastAsia="zh-TW"/>
        </w:rPr>
        <w:t>باء-</w:t>
      </w:r>
      <w:r>
        <w:rPr>
          <w:rFonts w:hint="cs"/>
          <w:rtl/>
          <w:lang w:eastAsia="zh-TW"/>
        </w:rPr>
        <w:tab/>
      </w:r>
      <w:r w:rsidRPr="00691FBD">
        <w:rPr>
          <w:rtl/>
          <w:lang w:eastAsia="zh-TW"/>
        </w:rPr>
        <w:t xml:space="preserve">معلومات محددة عن تنفيذ المواد 1-27 من </w:t>
      </w:r>
      <w:r>
        <w:rPr>
          <w:rtl/>
          <w:lang w:eastAsia="zh-TW"/>
        </w:rPr>
        <w:t>العهد</w:t>
      </w:r>
      <w:r w:rsidRPr="00691FBD">
        <w:rPr>
          <w:rtl/>
          <w:lang w:eastAsia="zh-TW"/>
        </w:rPr>
        <w:t>، بما في ذلك المعلومات المتعلقة بالتوصيات السابقة للجنة</w:t>
      </w:r>
    </w:p>
    <w:p w:rsidR="00462D9B" w:rsidRPr="00691FBD" w:rsidRDefault="00462D9B" w:rsidP="00462D9B">
      <w:pPr>
        <w:pStyle w:val="H23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691FBD">
        <w:rPr>
          <w:rtl/>
        </w:rPr>
        <w:t>الإطار الدستوري والقانوني لتنفيذ العهد (المادتان</w:t>
      </w:r>
      <w:r>
        <w:rPr>
          <w:rFonts w:hint="cs"/>
          <w:rtl/>
        </w:rPr>
        <w:t xml:space="preserve"> </w:t>
      </w:r>
      <w:r w:rsidRPr="00374625">
        <w:rPr>
          <w:color w:val="FF0000"/>
          <w:lang w:val="fr-CH"/>
        </w:rPr>
        <w:t>X</w:t>
      </w:r>
      <w:r w:rsidRPr="00691FBD">
        <w:rPr>
          <w:rtl/>
        </w:rPr>
        <w:t xml:space="preserve"> و</w:t>
      </w:r>
      <w:r w:rsidRPr="00374625">
        <w:rPr>
          <w:color w:val="FF0000"/>
          <w:lang w:val="fr-CH"/>
        </w:rPr>
        <w:t>X</w:t>
      </w:r>
      <w:r w:rsidRPr="00691FBD">
        <w:rPr>
          <w:rtl/>
        </w:rPr>
        <w:t>)</w:t>
      </w:r>
      <w:r>
        <w:rPr>
          <w:rtl/>
        </w:rPr>
        <w:t xml:space="preserve"> </w:t>
      </w:r>
      <w:r w:rsidRPr="00691FBD">
        <w:rPr>
          <w:highlight w:val="yellow"/>
          <w:rtl/>
        </w:rPr>
        <w:t>[[يكاد يدرَج دائماً</w:t>
      </w:r>
      <w:r>
        <w:rPr>
          <w:highlight w:val="yellow"/>
          <w:rtl/>
        </w:rPr>
        <w:t>]</w:t>
      </w:r>
      <w:r w:rsidRPr="00691FBD">
        <w:rPr>
          <w:highlight w:val="yellow"/>
          <w:rtl/>
        </w:rPr>
        <w:t>]</w:t>
      </w:r>
    </w:p>
    <w:p w:rsidR="00462D9B" w:rsidRPr="00374625" w:rsidRDefault="00462D9B" w:rsidP="00462D9B">
      <w:pPr>
        <w:spacing w:before="120"/>
        <w:jc w:val="center"/>
        <w:rPr>
          <w:u w:val="single"/>
          <w:rtl/>
        </w:rPr>
      </w:pPr>
      <w:r>
        <w:rPr>
          <w:u w:val="single"/>
          <w:rtl/>
        </w:rPr>
        <w:tab/>
      </w:r>
      <w:r>
        <w:rPr>
          <w:u w:val="single"/>
          <w:rtl/>
        </w:rPr>
        <w:tab/>
      </w:r>
      <w:r>
        <w:rPr>
          <w:u w:val="single"/>
          <w:rtl/>
        </w:rPr>
        <w:tab/>
      </w:r>
    </w:p>
    <w:p w:rsidR="00761849" w:rsidRPr="00B54AB2" w:rsidRDefault="00761849" w:rsidP="00B54AB2">
      <w:pPr>
        <w:pStyle w:val="SingleTxtGA"/>
        <w:spacing w:before="120" w:after="0"/>
        <w:ind w:left="0" w:right="0"/>
        <w:rPr>
          <w:sz w:val="24"/>
          <w:szCs w:val="24"/>
          <w:rtl/>
        </w:rPr>
      </w:pPr>
    </w:p>
    <w:sectPr w:rsidR="00761849" w:rsidRPr="00B54AB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16419F">
      <w:rPr>
        <w:b/>
        <w:noProof/>
        <w:sz w:val="18"/>
      </w:rPr>
      <w:t>4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16419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Foot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462D9B" w:rsidRPr="009E670E" w:rsidRDefault="00462D9B" w:rsidP="00462D9B">
      <w:pPr>
        <w:pStyle w:val="FootnoteText1"/>
        <w:ind w:hanging="483"/>
      </w:pPr>
      <w:r>
        <w:rPr>
          <w:rtl/>
        </w:rPr>
        <w:t>*</w:t>
      </w:r>
      <w:r>
        <w:rPr>
          <w:rtl/>
        </w:rPr>
        <w:tab/>
      </w:r>
      <w:r>
        <w:rPr>
          <w:rtl/>
          <w:lang w:eastAsia="zh-TW"/>
        </w:rPr>
        <w:t xml:space="preserve">اعتمدتها اللجنة في دورتها </w:t>
      </w:r>
      <w:r w:rsidRPr="00582B67">
        <w:rPr>
          <w:color w:val="FF0000"/>
          <w:rtl/>
          <w:lang w:eastAsia="zh-TW"/>
        </w:rPr>
        <w:t xml:space="preserve">الرقم </w:t>
      </w:r>
      <w:r>
        <w:rPr>
          <w:rtl/>
          <w:lang w:eastAsia="zh-TW"/>
        </w:rPr>
        <w:t>(</w:t>
      </w:r>
      <w:r w:rsidRPr="00582B67">
        <w:rPr>
          <w:color w:val="FF0000"/>
          <w:rtl/>
          <w:lang w:eastAsia="zh-TW"/>
        </w:rPr>
        <w:t>التواريخ</w:t>
      </w:r>
      <w:r>
        <w:rPr>
          <w:rtl/>
          <w:lang w:eastAsia="zh-TW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proofState w:spelling="clean" w:grammar="clean"/>
  <w:defaultTabStop w:val="680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419F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62D9B"/>
    <w:rsid w:val="00492D24"/>
    <w:rsid w:val="004956DC"/>
    <w:rsid w:val="004B0A1C"/>
    <w:rsid w:val="004D298E"/>
    <w:rsid w:val="00527474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05B5F"/>
    <w:rsid w:val="00B10943"/>
    <w:rsid w:val="00B13763"/>
    <w:rsid w:val="00B32E15"/>
    <w:rsid w:val="00B477A4"/>
    <w:rsid w:val="00B54045"/>
    <w:rsid w:val="00B54AB2"/>
    <w:rsid w:val="00C438D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AB6758"/>
    <w:pPr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371"/>
    <w:rPr>
      <w:sz w:val="20"/>
      <w:szCs w:val="20"/>
    </w:rPr>
  </w:style>
  <w:style w:type="character" w:styleId="FootnoteReference">
    <w:name w:val="footnote reference"/>
    <w:aliases w:val="4_GA,4_G"/>
    <w:basedOn w:val="DefaultParagraphFon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EndnoteText">
    <w:name w:val="endnote text"/>
    <w:aliases w:val="2_ GA"/>
    <w:basedOn w:val="Normal"/>
    <w:link w:val="EndnoteTextCh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semiHidden/>
    <w:rsid w:val="00455780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rsid w:val="00EC4B6B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semiHidden/>
    <w:rsid w:val="003260FF"/>
    <w:rPr>
      <w:i/>
      <w:iCs/>
    </w:rPr>
  </w:style>
  <w:style w:type="character" w:styleId="IntenseEmphasis">
    <w:name w:val="Intense Emphasis"/>
    <w:basedOn w:val="DefaultParagraphFont"/>
    <w:uiPriority w:val="21"/>
    <w:semiHidden/>
    <w:rsid w:val="003260F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rsid w:val="003260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rsid w:val="003260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semiHidden/>
    <w:rsid w:val="003260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F900C3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5A4B2-F594-4BB7-A205-5D752DA65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Rafael De La Osa Diaz</cp:lastModifiedBy>
  <cp:revision>2</cp:revision>
  <cp:lastPrinted>2016-06-21T10:29:00Z</cp:lastPrinted>
  <dcterms:created xsi:type="dcterms:W3CDTF">2018-05-29T11:39:00Z</dcterms:created>
  <dcterms:modified xsi:type="dcterms:W3CDTF">2018-05-29T11:39:00Z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