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024732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024732">
              <w:rPr>
                <w:sz w:val="40"/>
                <w:lang w:val="fr-FR"/>
              </w:rPr>
              <w:t>CPR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024732" w:rsidRPr="00BC20D8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7AE485AE" wp14:editId="2BE96457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ED7442">
              <w:rPr>
                <w:rFonts w:hint="cs"/>
                <w:b/>
                <w:bCs/>
                <w:sz w:val="56"/>
                <w:szCs w:val="56"/>
                <w:rtl/>
              </w:rPr>
              <w:t>العهد الدولي الخاص بالحقوق المدنية والسياسية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024732" w:rsidRPr="000C196E" w:rsidRDefault="00024732" w:rsidP="00024732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proofErr w:type="spellStart"/>
            <w:r w:rsidRPr="000C196E">
              <w:rPr>
                <w:lang w:val="fr-CH"/>
              </w:rPr>
              <w:t>Distr</w:t>
            </w:r>
            <w:proofErr w:type="spellEnd"/>
            <w:proofErr w:type="gramStart"/>
            <w:r w:rsidRPr="000C196E">
              <w:rPr>
                <w:lang w:val="fr-CH"/>
              </w:rPr>
              <w:t>.:</w:t>
            </w:r>
            <w:proofErr w:type="gramEnd"/>
            <w:r w:rsidRPr="000C196E">
              <w:rPr>
                <w:lang w:val="fr-CH"/>
              </w:rPr>
              <w:t xml:space="preserve">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024732" w:rsidRPr="000C196E" w:rsidRDefault="00024732" w:rsidP="00024732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0C196E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0C196E"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proofErr w:type="gramStart"/>
            <w:r w:rsidRPr="000C196E">
              <w:rPr>
                <w:lang w:val="fr-CH"/>
              </w:rPr>
              <w:t>Original:</w:t>
            </w:r>
            <w:proofErr w:type="gramEnd"/>
            <w:r w:rsidRPr="000C196E">
              <w:rPr>
                <w:lang w:val="fr-CH"/>
              </w:rPr>
              <w:t xml:space="preserve">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024732" w:rsidRPr="00024732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Pr="00024732">
              <w:rPr>
                <w:lang w:val="fr-CH"/>
              </w:rPr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2B29EB" w:rsidRPr="002A1118" w:rsidRDefault="002B29EB" w:rsidP="002B29EB">
      <w:pPr>
        <w:spacing w:before="120"/>
        <w:rPr>
          <w:b/>
          <w:bCs/>
          <w:sz w:val="26"/>
          <w:szCs w:val="36"/>
          <w:rtl/>
        </w:rPr>
      </w:pPr>
      <w:r w:rsidRPr="002A1118">
        <w:rPr>
          <w:b/>
          <w:bCs/>
          <w:sz w:val="26"/>
          <w:szCs w:val="36"/>
          <w:rtl/>
        </w:rPr>
        <w:t>اللجنة المعنية بحقوق الإنسان</w:t>
      </w:r>
    </w:p>
    <w:p w:rsidR="002B29EB" w:rsidRDefault="002B29EB" w:rsidP="002B29EB">
      <w:pPr>
        <w:pStyle w:val="HChGA"/>
        <w:rPr>
          <w:rtl/>
        </w:rPr>
      </w:pPr>
      <w:r>
        <w:rPr>
          <w:rtl/>
        </w:rPr>
        <w:tab/>
      </w:r>
      <w:r>
        <w:rPr>
          <w:rtl/>
        </w:rPr>
        <w:tab/>
        <w:t>آراء اعتمدتها اللجنة بموجب المادة 5(4) من البروتوكول الاختياري، بشأن البلاغ رقم</w:t>
      </w:r>
      <w:r>
        <w:rPr>
          <w:rFonts w:hint="cs"/>
          <w:rtl/>
          <w:lang w:bidi="ar-DZ"/>
        </w:rPr>
        <w:t xml:space="preserve"> </w:t>
      </w:r>
      <w:r w:rsidRPr="00025417">
        <w:rPr>
          <w:color w:val="FF0000"/>
        </w:rPr>
        <w:t>XXXX</w:t>
      </w:r>
      <w:r w:rsidRPr="00EB345E">
        <w:rPr>
          <w:rFonts w:hint="cs"/>
          <w:rtl/>
        </w:rPr>
        <w:t>/</w:t>
      </w:r>
      <w:r w:rsidRPr="00025417">
        <w:rPr>
          <w:color w:val="FF0000"/>
        </w:rPr>
        <w:t>YYYY</w:t>
      </w:r>
      <w:bookmarkStart w:id="0" w:name="_GoBack"/>
      <w:bookmarkEnd w:id="0"/>
      <w:r w:rsidRPr="0075435F">
        <w:rPr>
          <w:rStyle w:val="FootnoteReference"/>
          <w:sz w:val="20"/>
          <w:vertAlign w:val="baseline"/>
          <w:rtl/>
        </w:rPr>
        <w:footnoteReference w:customMarkFollows="1" w:id="1"/>
        <w:t>*</w:t>
      </w:r>
      <w:r>
        <w:rPr>
          <w:rFonts w:hint="cs"/>
          <w:vertAlign w:val="superscript"/>
          <w:rtl/>
          <w:lang w:bidi="ar-DZ"/>
        </w:rPr>
        <w:t>،</w:t>
      </w:r>
      <w:r w:rsidRPr="0075435F">
        <w:rPr>
          <w:rFonts w:hint="cs"/>
          <w:vertAlign w:val="superscript"/>
          <w:rtl/>
        </w:rPr>
        <w:t xml:space="preserve"> </w:t>
      </w:r>
      <w:r w:rsidRPr="0075435F">
        <w:rPr>
          <w:rStyle w:val="FootnoteReference"/>
          <w:sz w:val="20"/>
          <w:vertAlign w:val="baseline"/>
          <w:rtl/>
        </w:rPr>
        <w:footnoteReference w:customMarkFollows="1" w:id="2"/>
        <w:t>**</w:t>
      </w:r>
    </w:p>
    <w:p w:rsidR="002B29EB" w:rsidRDefault="002B29EB" w:rsidP="002B29EB">
      <w:pPr>
        <w:pStyle w:val="SingleTxtGA"/>
        <w:tabs>
          <w:tab w:val="clear" w:pos="2608"/>
          <w:tab w:val="clear" w:pos="3289"/>
          <w:tab w:val="clear" w:pos="3969"/>
          <w:tab w:val="clear" w:pos="4649"/>
          <w:tab w:val="clear" w:pos="5330"/>
          <w:tab w:val="left" w:pos="4347"/>
        </w:tabs>
        <w:ind w:left="4347" w:hanging="2419"/>
        <w:rPr>
          <w:rtl/>
        </w:rPr>
      </w:pPr>
      <w:r>
        <w:rPr>
          <w:rFonts w:hint="cs"/>
          <w:i/>
          <w:iCs/>
          <w:rtl/>
        </w:rPr>
        <w:t xml:space="preserve">بلاغ </w:t>
      </w:r>
      <w:r w:rsidRPr="0075435F">
        <w:rPr>
          <w:i/>
          <w:iCs/>
          <w:rtl/>
        </w:rPr>
        <w:t>مقدم من:</w:t>
      </w:r>
      <w:r>
        <w:rPr>
          <w:rtl/>
        </w:rPr>
        <w:tab/>
      </w:r>
      <w:r w:rsidRPr="00017879">
        <w:rPr>
          <w:color w:val="FF0000"/>
          <w:rtl/>
        </w:rPr>
        <w:t>ال</w:t>
      </w:r>
      <w:r w:rsidRPr="007444FF">
        <w:rPr>
          <w:color w:val="FF0000"/>
          <w:rtl/>
        </w:rPr>
        <w:t>اسم</w:t>
      </w:r>
      <w:r>
        <w:rPr>
          <w:rtl/>
        </w:rPr>
        <w:t xml:space="preserve"> </w:t>
      </w:r>
      <w:r w:rsidRPr="007444FF">
        <w:rPr>
          <w:color w:val="FF0000"/>
          <w:rtl/>
        </w:rPr>
        <w:t>[</w:t>
      </w:r>
      <w:r>
        <w:rPr>
          <w:rFonts w:hint="cs"/>
          <w:rtl/>
        </w:rPr>
        <w:t>(</w:t>
      </w:r>
      <w:r w:rsidRPr="007444FF">
        <w:rPr>
          <w:rtl/>
        </w:rPr>
        <w:t>يم</w:t>
      </w:r>
      <w:r>
        <w:rPr>
          <w:rtl/>
        </w:rPr>
        <w:t xml:space="preserve">ثله المحامي، </w:t>
      </w:r>
      <w:r w:rsidRPr="007444FF">
        <w:rPr>
          <w:color w:val="FF0000"/>
          <w:rtl/>
        </w:rPr>
        <w:t>اسم المحامي</w:t>
      </w:r>
      <w:r>
        <w:rPr>
          <w:rFonts w:hint="cs"/>
          <w:color w:val="FF0000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من</w:t>
      </w:r>
      <w:r>
        <w:rPr>
          <w:rtl/>
        </w:rPr>
        <w:t xml:space="preserve"> </w:t>
      </w:r>
      <w:r w:rsidRPr="007444FF">
        <w:rPr>
          <w:color w:val="FF0000"/>
          <w:rtl/>
        </w:rPr>
        <w:t>اسم المنظمة</w:t>
      </w:r>
      <w:r w:rsidRPr="00963112">
        <w:rPr>
          <w:color w:val="FF0000"/>
          <w:rtl/>
        </w:rPr>
        <w:t>، مثلا</w:t>
      </w:r>
      <w:r w:rsidRPr="00963112">
        <w:rPr>
          <w:rFonts w:hint="cs"/>
          <w:color w:val="FF0000"/>
          <w:rtl/>
        </w:rPr>
        <w:t>ً</w:t>
      </w:r>
      <w:r w:rsidRPr="00963112">
        <w:rPr>
          <w:color w:val="FF0000"/>
          <w:rtl/>
        </w:rPr>
        <w:t xml:space="preserve"> الرابطة السويسرية لمكافحة الإفلات من العقاب</w:t>
      </w:r>
      <w:r>
        <w:rPr>
          <w:rtl/>
        </w:rPr>
        <w:t>)</w:t>
      </w:r>
      <w:r w:rsidRPr="007444FF">
        <w:rPr>
          <w:color w:val="FF0000"/>
          <w:rtl/>
        </w:rPr>
        <w:t>]</w:t>
      </w:r>
      <w:r>
        <w:rPr>
          <w:rtl/>
        </w:rPr>
        <w:t xml:space="preserve"> </w:t>
      </w:r>
      <w:r w:rsidRPr="007444FF">
        <w:rPr>
          <w:color w:val="FF0000"/>
          <w:rtl/>
        </w:rPr>
        <w:t>[</w:t>
      </w:r>
      <w:r>
        <w:rPr>
          <w:rtl/>
        </w:rPr>
        <w:t>(لا يمثله محام)</w:t>
      </w:r>
      <w:r w:rsidRPr="007444FF">
        <w:rPr>
          <w:color w:val="FF0000"/>
          <w:rtl/>
        </w:rPr>
        <w:t>]</w:t>
      </w:r>
    </w:p>
    <w:p w:rsidR="002B29EB" w:rsidRDefault="002B29EB" w:rsidP="002B29EB">
      <w:pPr>
        <w:pStyle w:val="SingleTxtGA"/>
        <w:tabs>
          <w:tab w:val="clear" w:pos="2608"/>
          <w:tab w:val="clear" w:pos="3289"/>
          <w:tab w:val="clear" w:pos="3969"/>
          <w:tab w:val="clear" w:pos="4649"/>
          <w:tab w:val="clear" w:pos="5330"/>
          <w:tab w:val="left" w:pos="4347"/>
        </w:tabs>
        <w:ind w:left="4347" w:hanging="2419"/>
        <w:rPr>
          <w:rtl/>
        </w:rPr>
      </w:pPr>
      <w:r w:rsidRPr="0075435F">
        <w:rPr>
          <w:i/>
          <w:iCs/>
          <w:rtl/>
        </w:rPr>
        <w:t>الشخص المدعى أنه ضحية:</w:t>
      </w:r>
      <w:r>
        <w:rPr>
          <w:rtl/>
        </w:rPr>
        <w:tab/>
        <w:t>صاحب البلاغ</w:t>
      </w:r>
    </w:p>
    <w:p w:rsidR="002B29EB" w:rsidRDefault="002B29EB" w:rsidP="002B29EB">
      <w:pPr>
        <w:pStyle w:val="SingleTxtGA"/>
        <w:tabs>
          <w:tab w:val="clear" w:pos="2608"/>
          <w:tab w:val="clear" w:pos="3289"/>
          <w:tab w:val="clear" w:pos="3969"/>
          <w:tab w:val="clear" w:pos="4649"/>
          <w:tab w:val="clear" w:pos="5330"/>
          <w:tab w:val="left" w:pos="4347"/>
        </w:tabs>
        <w:ind w:left="4347" w:hanging="2419"/>
        <w:rPr>
          <w:rtl/>
        </w:rPr>
      </w:pPr>
      <w:r w:rsidRPr="0075435F">
        <w:rPr>
          <w:i/>
          <w:iCs/>
          <w:rtl/>
        </w:rPr>
        <w:t>الدولة الطرف</w:t>
      </w:r>
      <w:r>
        <w:rPr>
          <w:i/>
          <w:iCs/>
          <w:rtl/>
        </w:rPr>
        <w:t>:</w:t>
      </w:r>
      <w:r>
        <w:rPr>
          <w:rtl/>
        </w:rPr>
        <w:tab/>
      </w:r>
      <w:r w:rsidRPr="007444FF">
        <w:rPr>
          <w:color w:val="FF0000"/>
          <w:rtl/>
        </w:rPr>
        <w:t>الدولة</w:t>
      </w:r>
    </w:p>
    <w:p w:rsidR="002B29EB" w:rsidRDefault="002B29EB" w:rsidP="002B29EB">
      <w:pPr>
        <w:pStyle w:val="SingleTxtGA"/>
        <w:tabs>
          <w:tab w:val="clear" w:pos="2608"/>
          <w:tab w:val="clear" w:pos="3289"/>
          <w:tab w:val="clear" w:pos="3969"/>
          <w:tab w:val="clear" w:pos="4649"/>
          <w:tab w:val="clear" w:pos="5330"/>
          <w:tab w:val="left" w:pos="4347"/>
        </w:tabs>
        <w:ind w:left="4347" w:hanging="2419"/>
        <w:rPr>
          <w:rtl/>
        </w:rPr>
      </w:pPr>
      <w:r w:rsidRPr="0075435F">
        <w:rPr>
          <w:i/>
          <w:iCs/>
          <w:rtl/>
        </w:rPr>
        <w:t>تاريخ تقديم البلاغ:</w:t>
      </w:r>
      <w:r>
        <w:rPr>
          <w:rtl/>
        </w:rPr>
        <w:tab/>
      </w:r>
      <w:r w:rsidRPr="007444FF">
        <w:rPr>
          <w:color w:val="FF0000"/>
          <w:rtl/>
        </w:rPr>
        <w:t xml:space="preserve">التاريخ </w:t>
      </w:r>
      <w:r>
        <w:rPr>
          <w:rtl/>
        </w:rPr>
        <w:t>(تاريخ الرسالة الأولى)</w:t>
      </w:r>
    </w:p>
    <w:p w:rsidR="002B29EB" w:rsidRDefault="002B29EB" w:rsidP="002B29EB">
      <w:pPr>
        <w:pStyle w:val="SingleTxtGA"/>
        <w:tabs>
          <w:tab w:val="clear" w:pos="2608"/>
          <w:tab w:val="clear" w:pos="3289"/>
          <w:tab w:val="clear" w:pos="3969"/>
          <w:tab w:val="clear" w:pos="4649"/>
          <w:tab w:val="clear" w:pos="5330"/>
          <w:tab w:val="left" w:pos="4347"/>
        </w:tabs>
        <w:ind w:left="4347" w:hanging="2419"/>
        <w:rPr>
          <w:rtl/>
        </w:rPr>
      </w:pPr>
      <w:r w:rsidRPr="0075435F">
        <w:rPr>
          <w:i/>
          <w:iCs/>
          <w:rtl/>
        </w:rPr>
        <w:t>الوثائق المرجعية:</w:t>
      </w:r>
      <w:r>
        <w:rPr>
          <w:rtl/>
        </w:rPr>
        <w:tab/>
        <w:t>القرار المتخذ بموجب المادة 97 من النظام الداخلي للجنة، والمحال إلى الدولة الطرف في التاريخ (لم يصدر في شكل وثيقة)</w:t>
      </w:r>
    </w:p>
    <w:p w:rsidR="002B29EB" w:rsidRDefault="002B29EB" w:rsidP="002B29EB">
      <w:pPr>
        <w:pStyle w:val="SingleTxtGA"/>
        <w:tabs>
          <w:tab w:val="clear" w:pos="2608"/>
          <w:tab w:val="clear" w:pos="3289"/>
          <w:tab w:val="clear" w:pos="3969"/>
          <w:tab w:val="clear" w:pos="4649"/>
          <w:tab w:val="clear" w:pos="5330"/>
          <w:tab w:val="left" w:pos="4347"/>
        </w:tabs>
        <w:ind w:left="4347" w:hanging="2419"/>
        <w:rPr>
          <w:rtl/>
        </w:rPr>
      </w:pPr>
      <w:r w:rsidRPr="0075435F">
        <w:rPr>
          <w:i/>
          <w:iCs/>
          <w:rtl/>
        </w:rPr>
        <w:t>تاريخ اعتماد الآراء:</w:t>
      </w:r>
      <w:r>
        <w:rPr>
          <w:rtl/>
        </w:rPr>
        <w:tab/>
      </w:r>
      <w:r w:rsidRPr="007444FF">
        <w:rPr>
          <w:color w:val="FF0000"/>
          <w:rtl/>
        </w:rPr>
        <w:t>التاريخ</w:t>
      </w:r>
    </w:p>
    <w:p w:rsidR="002B29EB" w:rsidRDefault="002B29EB" w:rsidP="002B29EB">
      <w:pPr>
        <w:pStyle w:val="SingleTxtGA"/>
        <w:tabs>
          <w:tab w:val="clear" w:pos="2608"/>
          <w:tab w:val="clear" w:pos="3289"/>
          <w:tab w:val="clear" w:pos="3969"/>
          <w:tab w:val="clear" w:pos="4649"/>
          <w:tab w:val="clear" w:pos="5330"/>
          <w:tab w:val="left" w:pos="4347"/>
        </w:tabs>
        <w:ind w:left="4347" w:hanging="2419"/>
        <w:rPr>
          <w:rtl/>
        </w:rPr>
      </w:pPr>
      <w:r w:rsidRPr="0075435F">
        <w:rPr>
          <w:i/>
          <w:iCs/>
          <w:rtl/>
        </w:rPr>
        <w:t>الموضوع:</w:t>
      </w:r>
      <w:r>
        <w:rPr>
          <w:rtl/>
        </w:rPr>
        <w:tab/>
      </w:r>
      <w:r w:rsidRPr="007444FF">
        <w:rPr>
          <w:color w:val="FF0000"/>
          <w:rtl/>
        </w:rPr>
        <w:t>[</w:t>
      </w:r>
      <w:r>
        <w:rPr>
          <w:rtl/>
        </w:rPr>
        <w:t>الاعتقال والاحتجاز التعسفيان</w:t>
      </w:r>
      <w:r w:rsidRPr="007444FF">
        <w:rPr>
          <w:color w:val="FF0000"/>
          <w:rtl/>
        </w:rPr>
        <w:t>]</w:t>
      </w:r>
      <w:r>
        <w:rPr>
          <w:rtl/>
        </w:rPr>
        <w:t xml:space="preserve">؛ </w:t>
      </w:r>
      <w:r w:rsidRPr="007444FF">
        <w:rPr>
          <w:color w:val="FF0000"/>
          <w:rtl/>
        </w:rPr>
        <w:t>[</w:t>
      </w:r>
      <w:r>
        <w:rPr>
          <w:rtl/>
        </w:rPr>
        <w:t>التعذيب</w:t>
      </w:r>
      <w:r w:rsidRPr="007444FF">
        <w:rPr>
          <w:color w:val="FF0000"/>
          <w:rtl/>
        </w:rPr>
        <w:t>]</w:t>
      </w:r>
      <w:r>
        <w:rPr>
          <w:rtl/>
        </w:rPr>
        <w:t xml:space="preserve">؛ </w:t>
      </w:r>
      <w:r w:rsidRPr="007444FF">
        <w:rPr>
          <w:color w:val="FF0000"/>
          <w:rtl/>
        </w:rPr>
        <w:t>[</w:t>
      </w:r>
      <w:r>
        <w:rPr>
          <w:rtl/>
        </w:rPr>
        <w:t>المعاملة اللاإنسانية والمهينة</w:t>
      </w:r>
      <w:r w:rsidRPr="007444FF">
        <w:rPr>
          <w:color w:val="FF0000"/>
          <w:rtl/>
        </w:rPr>
        <w:t>]</w:t>
      </w:r>
      <w:r>
        <w:rPr>
          <w:rtl/>
        </w:rPr>
        <w:t xml:space="preserve">؛ </w:t>
      </w:r>
      <w:r w:rsidRPr="007444FF">
        <w:rPr>
          <w:color w:val="FF0000"/>
          <w:rtl/>
        </w:rPr>
        <w:t>[</w:t>
      </w:r>
      <w:r>
        <w:rPr>
          <w:rtl/>
        </w:rPr>
        <w:t>القتل خارج نطاق القضاء</w:t>
      </w:r>
      <w:r w:rsidRPr="007444FF">
        <w:rPr>
          <w:color w:val="FF0000"/>
          <w:rtl/>
        </w:rPr>
        <w:t>]</w:t>
      </w:r>
      <w:r>
        <w:rPr>
          <w:rtl/>
        </w:rPr>
        <w:t xml:space="preserve">؛ </w:t>
      </w:r>
      <w:r w:rsidRPr="007444FF">
        <w:rPr>
          <w:color w:val="FF0000"/>
          <w:rtl/>
        </w:rPr>
        <w:t>[</w:t>
      </w:r>
      <w:r>
        <w:rPr>
          <w:rtl/>
        </w:rPr>
        <w:t>نقل الرفات وإخفاؤه فيما بعد</w:t>
      </w:r>
      <w:r w:rsidRPr="007444FF">
        <w:rPr>
          <w:color w:val="FF0000"/>
          <w:rtl/>
        </w:rPr>
        <w:t>]</w:t>
      </w:r>
      <w:r>
        <w:rPr>
          <w:rtl/>
        </w:rPr>
        <w:t xml:space="preserve">؛ </w:t>
      </w:r>
      <w:r w:rsidRPr="007444FF">
        <w:rPr>
          <w:color w:val="FF0000"/>
          <w:rtl/>
        </w:rPr>
        <w:t>[</w:t>
      </w:r>
      <w:r>
        <w:rPr>
          <w:rtl/>
        </w:rPr>
        <w:t>احتجاز صاحب البلاغ</w:t>
      </w:r>
      <w:r w:rsidRPr="007444FF">
        <w:rPr>
          <w:color w:val="FF0000"/>
          <w:rtl/>
        </w:rPr>
        <w:t>]</w:t>
      </w:r>
      <w:r>
        <w:rPr>
          <w:rtl/>
        </w:rPr>
        <w:t xml:space="preserve">؛ </w:t>
      </w:r>
      <w:r w:rsidRPr="007444FF">
        <w:rPr>
          <w:color w:val="FF0000"/>
          <w:rtl/>
        </w:rPr>
        <w:t>[</w:t>
      </w:r>
      <w:r>
        <w:rPr>
          <w:rtl/>
        </w:rPr>
        <w:t>إدانة قضائية</w:t>
      </w:r>
      <w:r w:rsidRPr="007444FF">
        <w:rPr>
          <w:color w:val="FF0000"/>
          <w:rtl/>
        </w:rPr>
        <w:t>]</w:t>
      </w:r>
    </w:p>
    <w:p w:rsidR="002B29EB" w:rsidRDefault="002B29EB" w:rsidP="002B29EB">
      <w:pPr>
        <w:pStyle w:val="SingleTxtGA"/>
        <w:tabs>
          <w:tab w:val="clear" w:pos="2608"/>
          <w:tab w:val="clear" w:pos="3289"/>
          <w:tab w:val="clear" w:pos="3969"/>
          <w:tab w:val="clear" w:pos="4649"/>
          <w:tab w:val="clear" w:pos="5330"/>
          <w:tab w:val="left" w:pos="4347"/>
        </w:tabs>
        <w:ind w:left="4347" w:hanging="2419"/>
        <w:rPr>
          <w:rtl/>
        </w:rPr>
      </w:pPr>
      <w:r w:rsidRPr="0075435F">
        <w:rPr>
          <w:i/>
          <w:iCs/>
          <w:rtl/>
        </w:rPr>
        <w:t>المسائل الإجرائية</w:t>
      </w:r>
      <w:r>
        <w:rPr>
          <w:i/>
          <w:iCs/>
          <w:rtl/>
        </w:rPr>
        <w:t>:</w:t>
      </w:r>
      <w:r>
        <w:rPr>
          <w:rtl/>
        </w:rPr>
        <w:tab/>
      </w:r>
      <w:r w:rsidRPr="007444FF">
        <w:rPr>
          <w:color w:val="FF0000"/>
          <w:rtl/>
        </w:rPr>
        <w:t>[</w:t>
      </w:r>
      <w:r>
        <w:rPr>
          <w:rtl/>
        </w:rPr>
        <w:t>استنفاد سبل الانتصاف المحلية</w:t>
      </w:r>
      <w:r w:rsidRPr="007444FF">
        <w:rPr>
          <w:color w:val="FF0000"/>
          <w:rtl/>
        </w:rPr>
        <w:t>]</w:t>
      </w:r>
    </w:p>
    <w:p w:rsidR="002B29EB" w:rsidRDefault="002B29EB" w:rsidP="002B29EB">
      <w:pPr>
        <w:pStyle w:val="SingleTxtGA"/>
        <w:tabs>
          <w:tab w:val="clear" w:pos="2608"/>
          <w:tab w:val="clear" w:pos="3289"/>
          <w:tab w:val="clear" w:pos="3969"/>
          <w:tab w:val="clear" w:pos="4649"/>
          <w:tab w:val="clear" w:pos="5330"/>
          <w:tab w:val="left" w:pos="4347"/>
        </w:tabs>
        <w:ind w:left="4347" w:hanging="2419"/>
        <w:rPr>
          <w:rtl/>
        </w:rPr>
      </w:pPr>
      <w:r w:rsidRPr="0075435F">
        <w:rPr>
          <w:i/>
          <w:iCs/>
          <w:rtl/>
        </w:rPr>
        <w:t>المسائل الموضوعية</w:t>
      </w:r>
      <w:r>
        <w:rPr>
          <w:i/>
          <w:iCs/>
          <w:rtl/>
        </w:rPr>
        <w:t>:</w:t>
      </w:r>
      <w:r>
        <w:rPr>
          <w:rtl/>
        </w:rPr>
        <w:tab/>
      </w:r>
      <w:r w:rsidRPr="007444FF">
        <w:rPr>
          <w:color w:val="FF0000"/>
          <w:rtl/>
        </w:rPr>
        <w:t>[</w:t>
      </w:r>
      <w:r>
        <w:rPr>
          <w:rtl/>
        </w:rPr>
        <w:t>الحق في الحياة</w:t>
      </w:r>
      <w:r w:rsidRPr="007444FF">
        <w:rPr>
          <w:color w:val="FF0000"/>
          <w:rtl/>
        </w:rPr>
        <w:t>]</w:t>
      </w:r>
      <w:r>
        <w:rPr>
          <w:rtl/>
        </w:rPr>
        <w:t xml:space="preserve">؛ </w:t>
      </w:r>
      <w:r w:rsidRPr="007444FF">
        <w:rPr>
          <w:color w:val="FF0000"/>
          <w:rtl/>
        </w:rPr>
        <w:t>[</w:t>
      </w:r>
      <w:r>
        <w:rPr>
          <w:rtl/>
        </w:rPr>
        <w:t>التعذيب</w:t>
      </w:r>
      <w:r w:rsidRPr="007444FF">
        <w:rPr>
          <w:color w:val="FF0000"/>
          <w:rtl/>
        </w:rPr>
        <w:t>]</w:t>
      </w:r>
      <w:r>
        <w:rPr>
          <w:rtl/>
        </w:rPr>
        <w:t xml:space="preserve">؛ </w:t>
      </w:r>
      <w:r w:rsidRPr="007444FF">
        <w:rPr>
          <w:color w:val="FF0000"/>
          <w:rtl/>
        </w:rPr>
        <w:t>[</w:t>
      </w:r>
      <w:r>
        <w:rPr>
          <w:rtl/>
        </w:rPr>
        <w:t>ضروب المعاملة أو</w:t>
      </w:r>
      <w:r>
        <w:rPr>
          <w:rFonts w:hint="cs"/>
          <w:rtl/>
        </w:rPr>
        <w:t> </w:t>
      </w:r>
      <w:r>
        <w:rPr>
          <w:rtl/>
        </w:rPr>
        <w:t>العقوبة القاسية أو اللاإنسانية أو</w:t>
      </w:r>
      <w:r>
        <w:rPr>
          <w:rFonts w:hint="cs"/>
          <w:rtl/>
        </w:rPr>
        <w:t xml:space="preserve"> </w:t>
      </w:r>
      <w:r>
        <w:rPr>
          <w:rtl/>
        </w:rPr>
        <w:t>المهينة</w:t>
      </w:r>
      <w:r w:rsidRPr="007444FF">
        <w:rPr>
          <w:color w:val="FF0000"/>
          <w:rtl/>
        </w:rPr>
        <w:t>]</w:t>
      </w:r>
      <w:r>
        <w:rPr>
          <w:rtl/>
        </w:rPr>
        <w:t xml:space="preserve">؛ </w:t>
      </w:r>
      <w:r w:rsidRPr="007444FF">
        <w:rPr>
          <w:color w:val="FF0000"/>
          <w:rtl/>
        </w:rPr>
        <w:t>[</w:t>
      </w:r>
      <w:r>
        <w:rPr>
          <w:rtl/>
        </w:rPr>
        <w:t>حرية الفرد وأمنه</w:t>
      </w:r>
      <w:r w:rsidRPr="007444FF">
        <w:rPr>
          <w:color w:val="FF0000"/>
          <w:rtl/>
        </w:rPr>
        <w:t>]</w:t>
      </w:r>
      <w:r>
        <w:rPr>
          <w:rtl/>
        </w:rPr>
        <w:t xml:space="preserve">؛ </w:t>
      </w:r>
      <w:r w:rsidRPr="007444FF">
        <w:rPr>
          <w:color w:val="FF0000"/>
          <w:rtl/>
        </w:rPr>
        <w:t>[</w:t>
      </w:r>
      <w:r>
        <w:rPr>
          <w:rtl/>
        </w:rPr>
        <w:t>الكرامة الإنسانية</w:t>
      </w:r>
      <w:r w:rsidRPr="007444FF">
        <w:rPr>
          <w:color w:val="FF0000"/>
          <w:rtl/>
        </w:rPr>
        <w:t>]</w:t>
      </w:r>
      <w:r>
        <w:rPr>
          <w:rtl/>
        </w:rPr>
        <w:t xml:space="preserve">؛ </w:t>
      </w:r>
      <w:r w:rsidRPr="007444FF">
        <w:rPr>
          <w:color w:val="FF0000"/>
          <w:rtl/>
        </w:rPr>
        <w:t>[</w:t>
      </w:r>
      <w:r>
        <w:rPr>
          <w:rtl/>
        </w:rPr>
        <w:t>حقوق الطفل</w:t>
      </w:r>
      <w:r w:rsidRPr="007444FF">
        <w:rPr>
          <w:color w:val="FF0000"/>
          <w:rtl/>
        </w:rPr>
        <w:t>]</w:t>
      </w:r>
      <w:r>
        <w:rPr>
          <w:rtl/>
        </w:rPr>
        <w:t xml:space="preserve">؛ </w:t>
      </w:r>
      <w:r w:rsidRPr="007444FF">
        <w:rPr>
          <w:color w:val="FF0000"/>
          <w:rtl/>
        </w:rPr>
        <w:lastRenderedPageBreak/>
        <w:t>[</w:t>
      </w:r>
      <w:r>
        <w:rPr>
          <w:rtl/>
        </w:rPr>
        <w:t>الحق في سبيل انتصاف فعال</w:t>
      </w:r>
      <w:r w:rsidRPr="007444FF">
        <w:rPr>
          <w:color w:val="FF0000"/>
          <w:rtl/>
        </w:rPr>
        <w:t>]</w:t>
      </w:r>
      <w:r>
        <w:rPr>
          <w:rtl/>
        </w:rPr>
        <w:t xml:space="preserve">؛ </w:t>
      </w:r>
      <w:r w:rsidRPr="007444FF">
        <w:rPr>
          <w:color w:val="FF0000"/>
          <w:rtl/>
        </w:rPr>
        <w:t>[</w:t>
      </w:r>
      <w:r>
        <w:rPr>
          <w:rtl/>
        </w:rPr>
        <w:t>حرية التجمع</w:t>
      </w:r>
      <w:r w:rsidRPr="007444FF">
        <w:rPr>
          <w:color w:val="FF0000"/>
          <w:rtl/>
        </w:rPr>
        <w:t>]</w:t>
      </w:r>
      <w:r>
        <w:rPr>
          <w:rtl/>
        </w:rPr>
        <w:t xml:space="preserve">؛ </w:t>
      </w:r>
      <w:r w:rsidRPr="007444FF">
        <w:rPr>
          <w:color w:val="FF0000"/>
          <w:rtl/>
        </w:rPr>
        <w:t>[</w:t>
      </w:r>
      <w:r>
        <w:rPr>
          <w:rtl/>
        </w:rPr>
        <w:t>حرية الرأي والتعبير</w:t>
      </w:r>
      <w:r w:rsidRPr="007444FF">
        <w:rPr>
          <w:color w:val="FF0000"/>
          <w:rtl/>
        </w:rPr>
        <w:t>]</w:t>
      </w:r>
    </w:p>
    <w:p w:rsidR="002B29EB" w:rsidRDefault="002B29EB" w:rsidP="002B29EB">
      <w:pPr>
        <w:pStyle w:val="SingleTxtGA"/>
        <w:tabs>
          <w:tab w:val="clear" w:pos="2608"/>
          <w:tab w:val="clear" w:pos="3289"/>
          <w:tab w:val="clear" w:pos="3969"/>
          <w:tab w:val="clear" w:pos="4649"/>
          <w:tab w:val="clear" w:pos="5330"/>
          <w:tab w:val="left" w:pos="4347"/>
        </w:tabs>
        <w:ind w:left="4347" w:hanging="2419"/>
        <w:rPr>
          <w:rtl/>
        </w:rPr>
      </w:pPr>
      <w:r w:rsidRPr="0075435F">
        <w:rPr>
          <w:i/>
          <w:iCs/>
          <w:rtl/>
        </w:rPr>
        <w:t>مواد العهد</w:t>
      </w:r>
      <w:r>
        <w:rPr>
          <w:i/>
          <w:iCs/>
          <w:rtl/>
        </w:rPr>
        <w:t>:</w:t>
      </w:r>
      <w:r>
        <w:rPr>
          <w:rtl/>
        </w:rPr>
        <w:tab/>
      </w:r>
      <w:r w:rsidRPr="007444FF">
        <w:rPr>
          <w:color w:val="FF0000"/>
          <w:rtl/>
        </w:rPr>
        <w:t>[</w:t>
      </w:r>
      <w:r w:rsidRPr="00DB194C">
        <w:rPr>
          <w:color w:val="FF0000"/>
          <w:rtl/>
        </w:rPr>
        <w:t>2(3)</w:t>
      </w:r>
      <w:r>
        <w:rPr>
          <w:rtl/>
        </w:rPr>
        <w:t>، و</w:t>
      </w:r>
      <w:r w:rsidRPr="00DB194C">
        <w:rPr>
          <w:color w:val="FF0000"/>
          <w:rtl/>
        </w:rPr>
        <w:t>6</w:t>
      </w:r>
      <w:r>
        <w:rPr>
          <w:rtl/>
        </w:rPr>
        <w:t xml:space="preserve"> و</w:t>
      </w:r>
      <w:r w:rsidRPr="00DB194C">
        <w:rPr>
          <w:color w:val="FF0000"/>
          <w:rtl/>
        </w:rPr>
        <w:t>7</w:t>
      </w:r>
      <w:r>
        <w:rPr>
          <w:rtl/>
        </w:rPr>
        <w:t xml:space="preserve"> و</w:t>
      </w:r>
      <w:r w:rsidRPr="00DB194C">
        <w:rPr>
          <w:color w:val="FF0000"/>
          <w:rtl/>
        </w:rPr>
        <w:t>9</w:t>
      </w:r>
      <w:r>
        <w:rPr>
          <w:rtl/>
        </w:rPr>
        <w:t xml:space="preserve"> و</w:t>
      </w:r>
      <w:r w:rsidRPr="00DB194C">
        <w:rPr>
          <w:color w:val="FF0000"/>
          <w:rtl/>
        </w:rPr>
        <w:t>16</w:t>
      </w:r>
      <w:r>
        <w:rPr>
          <w:rtl/>
        </w:rPr>
        <w:t xml:space="preserve"> و</w:t>
      </w:r>
      <w:r w:rsidRPr="00DB194C">
        <w:rPr>
          <w:color w:val="FF0000"/>
          <w:rtl/>
        </w:rPr>
        <w:t>24</w:t>
      </w:r>
      <w:r>
        <w:rPr>
          <w:rtl/>
        </w:rPr>
        <w:t xml:space="preserve"> و</w:t>
      </w:r>
      <w:r w:rsidRPr="00DB194C">
        <w:rPr>
          <w:color w:val="FF0000"/>
          <w:rtl/>
        </w:rPr>
        <w:t>26</w:t>
      </w:r>
      <w:r w:rsidRPr="007444FF">
        <w:rPr>
          <w:color w:val="FF0000"/>
          <w:rtl/>
        </w:rPr>
        <w:t>]</w:t>
      </w:r>
    </w:p>
    <w:p w:rsidR="002B29EB" w:rsidRDefault="002B29EB" w:rsidP="002B29EB">
      <w:pPr>
        <w:pStyle w:val="SingleTxtGA"/>
        <w:tabs>
          <w:tab w:val="clear" w:pos="2608"/>
          <w:tab w:val="clear" w:pos="3289"/>
          <w:tab w:val="clear" w:pos="3969"/>
          <w:tab w:val="clear" w:pos="4649"/>
          <w:tab w:val="clear" w:pos="5330"/>
          <w:tab w:val="left" w:pos="4347"/>
        </w:tabs>
        <w:ind w:left="4347" w:hanging="2419"/>
        <w:rPr>
          <w:rtl/>
        </w:rPr>
      </w:pPr>
      <w:r w:rsidRPr="0075435F">
        <w:rPr>
          <w:i/>
          <w:iCs/>
          <w:rtl/>
        </w:rPr>
        <w:t>مواد البروتوكول الاختياري</w:t>
      </w:r>
      <w:r>
        <w:rPr>
          <w:i/>
          <w:iCs/>
          <w:rtl/>
        </w:rPr>
        <w:t>:</w:t>
      </w:r>
      <w:r>
        <w:rPr>
          <w:rtl/>
        </w:rPr>
        <w:tab/>
      </w:r>
      <w:r w:rsidRPr="007444FF">
        <w:rPr>
          <w:color w:val="FF0000"/>
          <w:rtl/>
        </w:rPr>
        <w:t>[</w:t>
      </w:r>
      <w:r w:rsidRPr="00DB194C">
        <w:rPr>
          <w:color w:val="FF0000"/>
          <w:rtl/>
        </w:rPr>
        <w:t>5(2)(ب)]</w:t>
      </w:r>
    </w:p>
    <w:p w:rsidR="002B29EB" w:rsidRDefault="002B29EB" w:rsidP="002B29EB">
      <w:pPr>
        <w:pStyle w:val="SingleTxtGA"/>
        <w:rPr>
          <w:rtl/>
        </w:rPr>
      </w:pPr>
      <w:r>
        <w:rPr>
          <w:rtl/>
        </w:rPr>
        <w:t>1-</w:t>
      </w:r>
      <w:r>
        <w:rPr>
          <w:rtl/>
        </w:rPr>
        <w:tab/>
      </w:r>
      <w:r w:rsidRPr="00DB194C">
        <w:rPr>
          <w:rtl/>
        </w:rPr>
        <w:t xml:space="preserve">صاحب البلاغ [صاحبة البلاغ] </w:t>
      </w:r>
      <w:r w:rsidRPr="007444FF">
        <w:rPr>
          <w:color w:val="FF0000"/>
          <w:rtl/>
        </w:rPr>
        <w:t>[</w:t>
      </w:r>
      <w:r w:rsidRPr="00DB194C">
        <w:rPr>
          <w:color w:val="FF0000"/>
          <w:rtl/>
        </w:rPr>
        <w:t>ه</w:t>
      </w:r>
      <w:r>
        <w:rPr>
          <w:rFonts w:hint="cs"/>
          <w:color w:val="FF0000"/>
          <w:rtl/>
        </w:rPr>
        <w:t>و</w:t>
      </w:r>
      <w:r w:rsidRPr="007444FF">
        <w:rPr>
          <w:color w:val="FF0000"/>
          <w:rtl/>
        </w:rPr>
        <w:t>]</w:t>
      </w:r>
      <w:r>
        <w:rPr>
          <w:rtl/>
        </w:rPr>
        <w:t xml:space="preserve"> </w:t>
      </w:r>
      <w:r w:rsidRPr="007444FF">
        <w:rPr>
          <w:color w:val="FF0000"/>
          <w:rtl/>
        </w:rPr>
        <w:t>[</w:t>
      </w:r>
      <w:r w:rsidRPr="00DB194C">
        <w:rPr>
          <w:color w:val="FF0000"/>
          <w:rtl/>
        </w:rPr>
        <w:t>هي</w:t>
      </w:r>
      <w:r w:rsidRPr="007444FF">
        <w:rPr>
          <w:color w:val="FF0000"/>
          <w:rtl/>
        </w:rPr>
        <w:t>]</w:t>
      </w:r>
      <w:r>
        <w:rPr>
          <w:rtl/>
        </w:rPr>
        <w:t xml:space="preserve"> </w:t>
      </w:r>
      <w:r w:rsidRPr="007444FF">
        <w:rPr>
          <w:color w:val="FF0000"/>
          <w:rtl/>
        </w:rPr>
        <w:t>[</w:t>
      </w:r>
      <w:r w:rsidRPr="00DB194C">
        <w:rPr>
          <w:color w:val="FF0000"/>
          <w:rtl/>
        </w:rPr>
        <w:t>الاسم</w:t>
      </w:r>
      <w:r w:rsidRPr="007444FF">
        <w:rPr>
          <w:color w:val="FF0000"/>
          <w:rtl/>
        </w:rPr>
        <w:t>]</w:t>
      </w:r>
      <w:r>
        <w:rPr>
          <w:rtl/>
        </w:rPr>
        <w:t xml:space="preserve"> مواطن </w:t>
      </w:r>
      <w:r w:rsidRPr="00DB194C">
        <w:rPr>
          <w:rtl/>
        </w:rPr>
        <w:t xml:space="preserve">[مواطنة] </w:t>
      </w:r>
      <w:r>
        <w:rPr>
          <w:rtl/>
        </w:rPr>
        <w:t xml:space="preserve">من </w:t>
      </w:r>
      <w:r w:rsidRPr="007444FF">
        <w:rPr>
          <w:color w:val="FF0000"/>
          <w:rtl/>
        </w:rPr>
        <w:t>[</w:t>
      </w:r>
      <w:r w:rsidRPr="00DB194C">
        <w:rPr>
          <w:color w:val="FF0000"/>
          <w:rtl/>
        </w:rPr>
        <w:t>الدولة</w:t>
      </w:r>
      <w:r w:rsidRPr="007444FF">
        <w:rPr>
          <w:color w:val="FF0000"/>
          <w:rtl/>
        </w:rPr>
        <w:t>]</w:t>
      </w:r>
      <w:r>
        <w:rPr>
          <w:rtl/>
        </w:rPr>
        <w:t xml:space="preserve">، مولود </w:t>
      </w:r>
      <w:r w:rsidRPr="007444FF">
        <w:rPr>
          <w:color w:val="FF0000"/>
          <w:rtl/>
        </w:rPr>
        <w:t>[</w:t>
      </w:r>
      <w:r>
        <w:rPr>
          <w:rtl/>
        </w:rPr>
        <w:t>مولودة</w:t>
      </w:r>
      <w:r w:rsidRPr="007444FF">
        <w:rPr>
          <w:color w:val="FF0000"/>
          <w:rtl/>
        </w:rPr>
        <w:t>]</w:t>
      </w:r>
      <w:r>
        <w:rPr>
          <w:rtl/>
        </w:rPr>
        <w:t xml:space="preserve"> في </w:t>
      </w:r>
      <w:r w:rsidRPr="007444FF">
        <w:rPr>
          <w:color w:val="FF0000"/>
          <w:rtl/>
        </w:rPr>
        <w:t>[</w:t>
      </w:r>
      <w:r>
        <w:rPr>
          <w:rtl/>
        </w:rPr>
        <w:t>التاريخ</w:t>
      </w:r>
      <w:r w:rsidRPr="007444FF">
        <w:rPr>
          <w:color w:val="FF0000"/>
          <w:rtl/>
        </w:rPr>
        <w:t>]</w:t>
      </w:r>
      <w:r>
        <w:rPr>
          <w:rtl/>
        </w:rPr>
        <w:t xml:space="preserve">. </w:t>
      </w:r>
      <w:r w:rsidRPr="007444FF">
        <w:rPr>
          <w:color w:val="FF0000"/>
          <w:rtl/>
        </w:rPr>
        <w:t>[</w:t>
      </w:r>
      <w:r w:rsidRPr="00DB194C">
        <w:rPr>
          <w:color w:val="FF0000"/>
          <w:rtl/>
        </w:rPr>
        <w:t>وهو يدعي</w:t>
      </w:r>
      <w:r w:rsidRPr="007444FF">
        <w:rPr>
          <w:color w:val="FF0000"/>
          <w:rtl/>
        </w:rPr>
        <w:t>]</w:t>
      </w:r>
      <w:r>
        <w:rPr>
          <w:rtl/>
        </w:rPr>
        <w:t xml:space="preserve"> </w:t>
      </w:r>
      <w:r w:rsidRPr="007444FF">
        <w:rPr>
          <w:color w:val="FF0000"/>
          <w:rtl/>
        </w:rPr>
        <w:t>[</w:t>
      </w:r>
      <w:r w:rsidRPr="00DB194C">
        <w:rPr>
          <w:color w:val="FF0000"/>
          <w:rtl/>
        </w:rPr>
        <w:t>وهي تدعي</w:t>
      </w:r>
      <w:r w:rsidRPr="007444FF">
        <w:rPr>
          <w:color w:val="FF0000"/>
          <w:rtl/>
        </w:rPr>
        <w:t>]</w:t>
      </w:r>
      <w:r>
        <w:rPr>
          <w:rtl/>
        </w:rPr>
        <w:t xml:space="preserve"> أن الدولة الطرف انتهكت حقوقه </w:t>
      </w:r>
      <w:r w:rsidRPr="00DB194C">
        <w:rPr>
          <w:rtl/>
        </w:rPr>
        <w:t xml:space="preserve">[حقوقها] </w:t>
      </w:r>
      <w:r>
        <w:rPr>
          <w:rtl/>
        </w:rPr>
        <w:t xml:space="preserve">المكفولة بموجب المواد </w:t>
      </w:r>
      <w:r w:rsidRPr="007444FF">
        <w:rPr>
          <w:color w:val="FF0000"/>
          <w:rtl/>
        </w:rPr>
        <w:t xml:space="preserve">×× </w:t>
      </w:r>
      <w:r>
        <w:rPr>
          <w:rtl/>
        </w:rPr>
        <w:t>و</w:t>
      </w:r>
      <w:r w:rsidRPr="007444FF">
        <w:rPr>
          <w:color w:val="FF0000"/>
          <w:rtl/>
        </w:rPr>
        <w:t xml:space="preserve">×× </w:t>
      </w:r>
      <w:r>
        <w:rPr>
          <w:rtl/>
        </w:rPr>
        <w:t xml:space="preserve">من العهد. وقد دخل البروتوكول الاختياري حيز النفاذ بالنسبة للدولة الطرف في </w:t>
      </w:r>
      <w:r w:rsidRPr="007444FF">
        <w:rPr>
          <w:color w:val="FF0000"/>
          <w:rtl/>
        </w:rPr>
        <w:t>[</w:t>
      </w:r>
      <w:r w:rsidRPr="00DB194C">
        <w:rPr>
          <w:color w:val="FF0000"/>
          <w:rtl/>
        </w:rPr>
        <w:t>التاريخ</w:t>
      </w:r>
      <w:r w:rsidRPr="007444FF">
        <w:rPr>
          <w:color w:val="FF0000"/>
          <w:rtl/>
        </w:rPr>
        <w:t>]</w:t>
      </w:r>
      <w:r>
        <w:rPr>
          <w:rtl/>
        </w:rPr>
        <w:t>.</w:t>
      </w:r>
    </w:p>
    <w:p w:rsidR="002B29EB" w:rsidRDefault="002B29EB" w:rsidP="002B29EB">
      <w:pPr>
        <w:pStyle w:val="SingleTxtGA"/>
        <w:rPr>
          <w:rtl/>
        </w:rPr>
      </w:pPr>
      <w:r>
        <w:rPr>
          <w:rtl/>
        </w:rPr>
        <w:tab/>
        <w:t>…</w:t>
      </w:r>
    </w:p>
    <w:p w:rsidR="002B29EB" w:rsidRPr="00E2487A" w:rsidRDefault="002B29EB" w:rsidP="002B29EB">
      <w:pPr>
        <w:spacing w:before="120"/>
        <w:jc w:val="center"/>
        <w:rPr>
          <w:u w:val="single"/>
          <w:rtl/>
        </w:rPr>
      </w:pPr>
      <w:r>
        <w:rPr>
          <w:u w:val="single"/>
          <w:rtl/>
        </w:rPr>
        <w:tab/>
      </w:r>
      <w:r>
        <w:rPr>
          <w:u w:val="single"/>
          <w:rtl/>
        </w:rPr>
        <w:tab/>
      </w:r>
      <w:r>
        <w:rPr>
          <w:u w:val="single"/>
          <w:rtl/>
        </w:rPr>
        <w:tab/>
      </w:r>
    </w:p>
    <w:p w:rsidR="00761849" w:rsidRPr="00B54AB2" w:rsidRDefault="00761849" w:rsidP="002B29EB">
      <w:pPr>
        <w:pStyle w:val="SingleTxtGA"/>
        <w:spacing w:before="120" w:after="0"/>
        <w:ind w:left="0" w:right="0"/>
        <w:rPr>
          <w:sz w:val="24"/>
          <w:szCs w:val="24"/>
          <w:rtl/>
        </w:rPr>
      </w:pPr>
    </w:p>
    <w:sectPr w:rsidR="00761849" w:rsidRPr="00B54AB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2B29EB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16419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2B29EB" w:rsidRPr="002A1118" w:rsidRDefault="002B29EB" w:rsidP="002B29EB">
      <w:pPr>
        <w:pStyle w:val="FootnoteText1"/>
        <w:rPr>
          <w:rtl/>
        </w:rPr>
      </w:pPr>
      <w:r>
        <w:rPr>
          <w:rtl/>
        </w:rPr>
        <w:t>*</w:t>
      </w:r>
      <w:r>
        <w:rPr>
          <w:rtl/>
        </w:rPr>
        <w:tab/>
      </w:r>
      <w:r w:rsidRPr="002A1118">
        <w:rPr>
          <w:rtl/>
        </w:rPr>
        <w:t xml:space="preserve">اعتمدتها اللجنة في دورتها </w:t>
      </w:r>
      <w:r w:rsidRPr="007444FF">
        <w:rPr>
          <w:color w:val="FF0000"/>
        </w:rPr>
        <w:t>xxx</w:t>
      </w:r>
      <w:r w:rsidRPr="007444FF">
        <w:rPr>
          <w:color w:val="FF0000"/>
          <w:rtl/>
        </w:rPr>
        <w:t xml:space="preserve"> </w:t>
      </w:r>
      <w:r w:rsidRPr="002A1118">
        <w:rPr>
          <w:rtl/>
        </w:rPr>
        <w:t>(</w:t>
      </w:r>
      <w:r w:rsidRPr="007444FF">
        <w:rPr>
          <w:color w:val="FF0000"/>
          <w:rtl/>
        </w:rPr>
        <w:t>التاريخ</w:t>
      </w:r>
      <w:r w:rsidRPr="002A1118">
        <w:rPr>
          <w:rtl/>
        </w:rPr>
        <w:t>)</w:t>
      </w:r>
      <w:r>
        <w:rPr>
          <w:rFonts w:hint="cs"/>
          <w:rtl/>
        </w:rPr>
        <w:t>.</w:t>
      </w:r>
    </w:p>
  </w:footnote>
  <w:footnote w:id="2">
    <w:p w:rsidR="002B29EB" w:rsidRPr="0075435F" w:rsidRDefault="002B29EB" w:rsidP="002B29EB">
      <w:pPr>
        <w:pStyle w:val="FootnoteText1"/>
      </w:pPr>
      <w:r>
        <w:rPr>
          <w:rtl/>
        </w:rPr>
        <w:t>**</w:t>
      </w:r>
      <w:r>
        <w:rPr>
          <w:rtl/>
        </w:rPr>
        <w:tab/>
      </w:r>
      <w:r w:rsidRPr="002A1118">
        <w:rPr>
          <w:rtl/>
        </w:rPr>
        <w:t>شارك في دراسة هذا البلاغ أعضاء اللجنة التالية أسماؤهم:</w:t>
      </w:r>
      <w:r>
        <w:rPr>
          <w:rFonts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defaultTabStop w:val="680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84A39"/>
    <w:rsid w:val="000A2113"/>
    <w:rsid w:val="000C196E"/>
    <w:rsid w:val="000D701C"/>
    <w:rsid w:val="000E1A26"/>
    <w:rsid w:val="000E2A71"/>
    <w:rsid w:val="000E4D6C"/>
    <w:rsid w:val="0011410B"/>
    <w:rsid w:val="00160263"/>
    <w:rsid w:val="0016419F"/>
    <w:rsid w:val="00167825"/>
    <w:rsid w:val="00181F96"/>
    <w:rsid w:val="001A1371"/>
    <w:rsid w:val="001B346A"/>
    <w:rsid w:val="001E1CAD"/>
    <w:rsid w:val="001E290D"/>
    <w:rsid w:val="002144FA"/>
    <w:rsid w:val="00214670"/>
    <w:rsid w:val="002234D2"/>
    <w:rsid w:val="0023469A"/>
    <w:rsid w:val="00243C8A"/>
    <w:rsid w:val="00267A0E"/>
    <w:rsid w:val="002901D9"/>
    <w:rsid w:val="002976C2"/>
    <w:rsid w:val="002B29EB"/>
    <w:rsid w:val="003260FF"/>
    <w:rsid w:val="00343D95"/>
    <w:rsid w:val="00373102"/>
    <w:rsid w:val="00374341"/>
    <w:rsid w:val="00384DA7"/>
    <w:rsid w:val="003C0A95"/>
    <w:rsid w:val="003D1062"/>
    <w:rsid w:val="00420D7B"/>
    <w:rsid w:val="00450B21"/>
    <w:rsid w:val="00453B63"/>
    <w:rsid w:val="00455780"/>
    <w:rsid w:val="00462D9B"/>
    <w:rsid w:val="00492D24"/>
    <w:rsid w:val="004956DC"/>
    <w:rsid w:val="004B0A1C"/>
    <w:rsid w:val="004D298E"/>
    <w:rsid w:val="00527474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52D03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05B5F"/>
    <w:rsid w:val="00B10943"/>
    <w:rsid w:val="00B13763"/>
    <w:rsid w:val="00B32E15"/>
    <w:rsid w:val="00B477A4"/>
    <w:rsid w:val="00B54045"/>
    <w:rsid w:val="00B54AB2"/>
    <w:rsid w:val="00BC20D8"/>
    <w:rsid w:val="00C438D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,4_G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EA629-86EB-40F7-B031-D4CED022F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2</cp:revision>
  <cp:lastPrinted>2016-06-21T10:29:00Z</cp:lastPrinted>
  <dcterms:created xsi:type="dcterms:W3CDTF">2018-05-29T11:47:00Z</dcterms:created>
  <dcterms:modified xsi:type="dcterms:W3CDTF">2018-05-29T11:47:00Z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