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BC20D8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624D46" w:rsidRPr="00C57DC4" w:rsidRDefault="00624D46" w:rsidP="00624D46">
      <w:pPr>
        <w:pStyle w:val="SingleTxtGA"/>
        <w:spacing w:before="120" w:after="0"/>
        <w:ind w:left="0" w:right="4252"/>
        <w:jc w:val="left"/>
        <w:rPr>
          <w:b/>
          <w:bCs/>
          <w:sz w:val="26"/>
          <w:szCs w:val="36"/>
          <w:rtl/>
          <w:lang w:eastAsia="zh-TW"/>
        </w:rPr>
      </w:pPr>
      <w:r w:rsidRPr="00C57DC4">
        <w:rPr>
          <w:b/>
          <w:bCs/>
          <w:sz w:val="26"/>
          <w:szCs w:val="36"/>
          <w:rtl/>
          <w:lang w:eastAsia="zh-TW"/>
        </w:rPr>
        <w:t>اللجنة المعنية بحقوق الإنسان</w:t>
      </w:r>
    </w:p>
    <w:p w:rsidR="00624D46" w:rsidRDefault="00624D46" w:rsidP="00624D46">
      <w:pPr>
        <w:pStyle w:val="HChGA"/>
        <w:rPr>
          <w:rtl/>
          <w:lang w:eastAsia="zh-TW" w:bidi="ar-DZ"/>
        </w:rPr>
      </w:pPr>
      <w:r>
        <w:rPr>
          <w:lang w:eastAsia="zh-TW"/>
        </w:rPr>
        <w:tab/>
      </w:r>
      <w:r>
        <w:rPr>
          <w:lang w:eastAsia="zh-TW"/>
        </w:rPr>
        <w:tab/>
      </w:r>
      <w:r w:rsidRPr="00843C0D">
        <w:rPr>
          <w:rtl/>
          <w:lang w:eastAsia="zh-TW"/>
        </w:rPr>
        <w:t>قرار اعتمدته اللجنة بموجب البروتوكول الاختياري بشأن البلاغ رقم</w:t>
      </w:r>
      <w:r>
        <w:rPr>
          <w:rtl/>
          <w:lang w:eastAsia="zh-TW"/>
        </w:rPr>
        <w:t xml:space="preserve"> </w:t>
      </w:r>
      <w:r w:rsidRPr="00025417">
        <w:rPr>
          <w:color w:val="FF0000"/>
        </w:rPr>
        <w:t>XXX</w:t>
      </w:r>
      <w:r>
        <w:rPr>
          <w:rtl/>
          <w:lang w:eastAsia="zh-TW"/>
        </w:rPr>
        <w:t>/</w:t>
      </w:r>
      <w:r w:rsidRPr="00025417">
        <w:rPr>
          <w:color w:val="FF0000"/>
        </w:rPr>
        <w:t>YYYY</w:t>
      </w:r>
      <w:r w:rsidRPr="00C57DC4">
        <w:rPr>
          <w:rStyle w:val="FootnoteReference"/>
          <w:sz w:val="20"/>
          <w:vertAlign w:val="baseline"/>
          <w:rtl/>
        </w:rPr>
        <w:footnoteReference w:customMarkFollows="1" w:id="1"/>
        <w:t>*</w:t>
      </w:r>
      <w:r w:rsidR="00090618" w:rsidRPr="00090618">
        <w:rPr>
          <w:vertAlign w:val="superscript"/>
          <w:rtl/>
          <w:lang w:bidi="ar-DZ"/>
        </w:rPr>
        <w:t>،</w:t>
      </w:r>
      <w:r w:rsidRPr="00C57DC4">
        <w:rPr>
          <w:rStyle w:val="FootnoteReference"/>
          <w:rFonts w:hint="cs"/>
          <w:sz w:val="20"/>
          <w:vertAlign w:val="baseline"/>
          <w:rtl/>
        </w:rPr>
        <w:t xml:space="preserve"> </w:t>
      </w:r>
      <w:r w:rsidRPr="00C57DC4">
        <w:rPr>
          <w:rStyle w:val="FootnoteReference"/>
          <w:b/>
          <w:sz w:val="20"/>
          <w:vertAlign w:val="baseline"/>
          <w:rtl/>
        </w:rPr>
        <w:footnoteReference w:customMarkFollows="1" w:id="2"/>
        <w:t>**</w:t>
      </w:r>
      <w:bookmarkStart w:id="0" w:name="_GoBack"/>
      <w:bookmarkEnd w:id="0"/>
    </w:p>
    <w:p w:rsidR="00624D46" w:rsidRPr="00E90D10" w:rsidRDefault="00624D46" w:rsidP="00624D46">
      <w:pPr>
        <w:pStyle w:val="SingleTxtGA"/>
        <w:tabs>
          <w:tab w:val="clear" w:pos="1928"/>
          <w:tab w:val="clear" w:pos="2608"/>
          <w:tab w:val="clear" w:pos="3289"/>
          <w:tab w:val="clear" w:pos="3969"/>
          <w:tab w:val="clear" w:pos="4649"/>
          <w:tab w:val="clear" w:pos="5330"/>
        </w:tabs>
        <w:ind w:left="4649" w:hanging="2721"/>
        <w:rPr>
          <w:rtl/>
          <w:lang w:eastAsia="zh-TW"/>
        </w:rPr>
      </w:pPr>
      <w:r w:rsidRPr="00C57DC4">
        <w:rPr>
          <w:i/>
          <w:iCs/>
          <w:rtl/>
          <w:lang w:eastAsia="zh-TW"/>
        </w:rPr>
        <w:t>بلاغ مقدم من:</w:t>
      </w:r>
      <w:r>
        <w:rPr>
          <w:i/>
          <w:iCs/>
          <w:rtl/>
          <w:lang w:eastAsia="zh-TW"/>
        </w:rPr>
        <w:tab/>
      </w:r>
      <w:r w:rsidRPr="00B031D1">
        <w:rPr>
          <w:color w:val="FF0000"/>
          <w:rtl/>
          <w:lang w:eastAsia="zh-TW"/>
        </w:rPr>
        <w:t>الاسم (الأسماء) [</w:t>
      </w:r>
      <w:r w:rsidRPr="00EA74A0">
        <w:rPr>
          <w:rFonts w:hint="cs"/>
          <w:rtl/>
          <w:lang w:eastAsia="zh-TW"/>
        </w:rPr>
        <w:t>(</w:t>
      </w:r>
      <w:r>
        <w:rPr>
          <w:rtl/>
          <w:lang w:eastAsia="zh-TW"/>
        </w:rPr>
        <w:t>يمثله (يمثلهم) المحامي</w:t>
      </w:r>
      <w:r w:rsidRPr="00B031D1">
        <w:rPr>
          <w:color w:val="FF0000"/>
          <w:rtl/>
          <w:lang w:eastAsia="zh-TW"/>
        </w:rPr>
        <w:t>،</w:t>
      </w:r>
      <w:r>
        <w:rPr>
          <w:rtl/>
          <w:lang w:eastAsia="zh-TW"/>
        </w:rPr>
        <w:t xml:space="preserve"> </w:t>
      </w:r>
      <w:r w:rsidRPr="00B031D1">
        <w:rPr>
          <w:color w:val="FF0000"/>
          <w:rtl/>
          <w:lang w:eastAsia="zh-TW"/>
        </w:rPr>
        <w:t>اسم المحامي</w:t>
      </w:r>
      <w:r>
        <w:rPr>
          <w:rtl/>
          <w:lang w:eastAsia="zh-TW"/>
        </w:rPr>
        <w:t xml:space="preserve">، من </w:t>
      </w:r>
      <w:r w:rsidRPr="00B031D1">
        <w:rPr>
          <w:color w:val="FF0000"/>
          <w:rtl/>
          <w:lang w:eastAsia="zh-TW"/>
        </w:rPr>
        <w:t>اسم المنظمة</w:t>
      </w:r>
      <w:r>
        <w:rPr>
          <w:rtl/>
          <w:lang w:eastAsia="zh-TW"/>
        </w:rPr>
        <w:t>)</w:t>
      </w:r>
      <w:r w:rsidRPr="00B031D1">
        <w:rPr>
          <w:color w:val="FF0000"/>
          <w:rtl/>
          <w:lang w:eastAsia="zh-TW"/>
        </w:rPr>
        <w:t>]</w:t>
      </w:r>
    </w:p>
    <w:p w:rsidR="00624D46" w:rsidRPr="00E90D10" w:rsidRDefault="00624D46" w:rsidP="00624D46">
      <w:pPr>
        <w:pStyle w:val="SingleTxtGA"/>
        <w:tabs>
          <w:tab w:val="clear" w:pos="1928"/>
          <w:tab w:val="clear" w:pos="2608"/>
          <w:tab w:val="clear" w:pos="3289"/>
          <w:tab w:val="clear" w:pos="3969"/>
          <w:tab w:val="clear" w:pos="4649"/>
          <w:tab w:val="clear" w:pos="5330"/>
        </w:tabs>
        <w:ind w:left="4649" w:hanging="2721"/>
        <w:rPr>
          <w:rtl/>
          <w:lang w:eastAsia="zh-TW"/>
        </w:rPr>
      </w:pPr>
      <w:r w:rsidRPr="00EA74A0">
        <w:rPr>
          <w:i/>
          <w:iCs/>
          <w:rtl/>
          <w:lang w:eastAsia="zh-TW"/>
        </w:rPr>
        <w:t xml:space="preserve">الشخص المدعى أنه ضحية </w:t>
      </w:r>
      <w:r w:rsidRPr="00EA74A0">
        <w:rPr>
          <w:i/>
          <w:iCs/>
          <w:color w:val="FF0000"/>
          <w:rtl/>
          <w:lang w:eastAsia="zh-TW"/>
        </w:rPr>
        <w:t>(الأشخاص المدعى أنهم ضحايا)</w:t>
      </w:r>
      <w:r w:rsidRPr="00B031D1">
        <w:rPr>
          <w:rtl/>
          <w:lang w:eastAsia="zh-TW"/>
        </w:rPr>
        <w:t>:</w:t>
      </w:r>
      <w:r>
        <w:rPr>
          <w:rtl/>
          <w:lang w:eastAsia="zh-TW"/>
        </w:rPr>
        <w:tab/>
        <w:t xml:space="preserve">صاحب </w:t>
      </w:r>
      <w:r w:rsidRPr="00B031D1">
        <w:rPr>
          <w:color w:val="FF0000"/>
          <w:rtl/>
          <w:lang w:eastAsia="zh-TW"/>
        </w:rPr>
        <w:t>(أصحاب)</w:t>
      </w:r>
      <w:r>
        <w:rPr>
          <w:rtl/>
          <w:lang w:eastAsia="zh-TW"/>
        </w:rPr>
        <w:t xml:space="preserve"> البلاغ </w:t>
      </w:r>
      <w:r>
        <w:rPr>
          <w:rFonts w:ascii="Arial" w:hAnsi="Arial" w:cs="Arial" w:hint="cs"/>
          <w:rtl/>
          <w:lang w:eastAsia="zh-TW"/>
        </w:rPr>
        <w:t>‬</w:t>
      </w:r>
      <w:r>
        <w:rPr>
          <w:rFonts w:ascii="Arial" w:hAnsi="Arial" w:cs="Arial" w:hint="cs"/>
          <w:rtl/>
          <w:lang w:eastAsia="zh-TW"/>
        </w:rPr>
        <w:t>‬</w:t>
      </w:r>
      <w:r>
        <w:rPr>
          <w:rFonts w:ascii="Arial" w:hAnsi="Arial" w:cs="Arial" w:hint="cs"/>
          <w:rtl/>
          <w:lang w:eastAsia="zh-TW"/>
        </w:rPr>
        <w:t>‬</w:t>
      </w:r>
      <w:r>
        <w:rPr>
          <w:rFonts w:ascii="Arial" w:hAnsi="Arial" w:cs="Arial" w:hint="cs"/>
          <w:rtl/>
          <w:lang w:eastAsia="zh-TW"/>
        </w:rPr>
        <w:t>‬</w:t>
      </w:r>
      <w:r>
        <w:rPr>
          <w:rFonts w:ascii="Arial" w:hAnsi="Arial" w:cs="Arial" w:hint="cs"/>
          <w:rtl/>
          <w:lang w:eastAsia="zh-TW"/>
        </w:rPr>
        <w:t>‬</w:t>
      </w:r>
      <w:r>
        <w:rPr>
          <w:rFonts w:ascii="Arial" w:hAnsi="Arial" w:cs="Arial" w:hint="cs"/>
          <w:rtl/>
          <w:lang w:eastAsia="zh-TW"/>
        </w:rPr>
        <w:t>‬</w:t>
      </w:r>
      <w:r>
        <w:rPr>
          <w:rFonts w:ascii="Arial" w:hAnsi="Arial" w:cs="Arial" w:hint="cs"/>
          <w:rtl/>
          <w:lang w:eastAsia="zh-TW"/>
        </w:rPr>
        <w:t>‬</w:t>
      </w:r>
      <w:r>
        <w:rPr>
          <w:rFonts w:ascii="Arial" w:hAnsi="Arial" w:cs="Arial" w:hint="cs"/>
          <w:rtl/>
          <w:lang w:eastAsia="zh-TW"/>
        </w:rPr>
        <w:t>‬</w:t>
      </w:r>
    </w:p>
    <w:p w:rsidR="00624D46" w:rsidRPr="00F87EFF" w:rsidRDefault="00624D46" w:rsidP="00624D46">
      <w:pPr>
        <w:pStyle w:val="SingleTxtGA"/>
        <w:tabs>
          <w:tab w:val="clear" w:pos="1928"/>
          <w:tab w:val="clear" w:pos="2608"/>
          <w:tab w:val="clear" w:pos="3289"/>
          <w:tab w:val="clear" w:pos="3969"/>
          <w:tab w:val="clear" w:pos="4649"/>
          <w:tab w:val="clear" w:pos="5330"/>
        </w:tabs>
        <w:ind w:left="4649" w:hanging="2721"/>
        <w:rPr>
          <w:color w:val="FF0000"/>
          <w:rtl/>
          <w:lang w:eastAsia="zh-TW"/>
        </w:rPr>
      </w:pPr>
      <w:r w:rsidRPr="00C57DC4">
        <w:rPr>
          <w:i/>
          <w:iCs/>
          <w:rtl/>
          <w:lang w:eastAsia="zh-TW"/>
        </w:rPr>
        <w:t>الدولة الطرف:</w:t>
      </w:r>
      <w:r>
        <w:rPr>
          <w:rtl/>
          <w:lang w:eastAsia="zh-TW"/>
        </w:rPr>
        <w:tab/>
      </w:r>
      <w:r>
        <w:rPr>
          <w:color w:val="FF0000"/>
          <w:rtl/>
          <w:lang w:eastAsia="zh-TW"/>
        </w:rPr>
        <w:t>الدولة</w:t>
      </w:r>
    </w:p>
    <w:p w:rsidR="00624D46" w:rsidRPr="00F87EFF" w:rsidRDefault="00624D46" w:rsidP="00624D46">
      <w:pPr>
        <w:pStyle w:val="SingleTxtGA"/>
        <w:tabs>
          <w:tab w:val="clear" w:pos="1928"/>
          <w:tab w:val="clear" w:pos="2608"/>
          <w:tab w:val="clear" w:pos="3289"/>
          <w:tab w:val="clear" w:pos="3969"/>
          <w:tab w:val="clear" w:pos="4649"/>
          <w:tab w:val="clear" w:pos="5330"/>
        </w:tabs>
        <w:ind w:left="4649" w:hanging="2721"/>
        <w:rPr>
          <w:color w:val="FF0000"/>
          <w:rtl/>
          <w:lang w:eastAsia="zh-TW"/>
        </w:rPr>
      </w:pPr>
      <w:r w:rsidRPr="00C57DC4">
        <w:rPr>
          <w:i/>
          <w:iCs/>
          <w:rtl/>
          <w:lang w:eastAsia="zh-TW"/>
        </w:rPr>
        <w:t>تاريخ تقديم البلاغ:</w:t>
      </w:r>
      <w:r>
        <w:rPr>
          <w:rtl/>
          <w:lang w:eastAsia="zh-TW"/>
        </w:rPr>
        <w:tab/>
      </w:r>
      <w:r w:rsidRPr="00B031D1">
        <w:rPr>
          <w:color w:val="FF0000"/>
          <w:rtl/>
          <w:lang w:eastAsia="zh-TW"/>
        </w:rPr>
        <w:t>التاريخ</w:t>
      </w:r>
    </w:p>
    <w:p w:rsidR="00624D46" w:rsidRDefault="00624D46" w:rsidP="00624D46">
      <w:pPr>
        <w:pStyle w:val="SingleTxtGA"/>
        <w:tabs>
          <w:tab w:val="clear" w:pos="1928"/>
          <w:tab w:val="clear" w:pos="2608"/>
          <w:tab w:val="clear" w:pos="3289"/>
          <w:tab w:val="clear" w:pos="3969"/>
          <w:tab w:val="clear" w:pos="4649"/>
          <w:tab w:val="clear" w:pos="5330"/>
        </w:tabs>
        <w:spacing w:after="240"/>
        <w:ind w:left="4650" w:hanging="2722"/>
        <w:rPr>
          <w:rtl/>
          <w:lang w:eastAsia="zh-TW"/>
        </w:rPr>
      </w:pPr>
      <w:r w:rsidRPr="00C57DC4">
        <w:rPr>
          <w:i/>
          <w:iCs/>
          <w:rtl/>
          <w:lang w:eastAsia="zh-TW"/>
        </w:rPr>
        <w:t>المسائل الموضوعية:</w:t>
      </w:r>
      <w:r>
        <w:rPr>
          <w:rtl/>
          <w:lang w:eastAsia="zh-TW"/>
        </w:rPr>
        <w:tab/>
      </w:r>
      <w:r w:rsidRPr="00D1038E">
        <w:rPr>
          <w:color w:val="FF0000"/>
          <w:rtl/>
          <w:lang w:eastAsia="zh-TW"/>
        </w:rPr>
        <w:t>[</w:t>
      </w:r>
      <w:r>
        <w:rPr>
          <w:rtl/>
          <w:lang w:eastAsia="zh-TW"/>
        </w:rPr>
        <w:t>الحق في الحياة</w:t>
      </w:r>
      <w:r w:rsidRPr="00D1038E">
        <w:rPr>
          <w:color w:val="FF0000"/>
          <w:rtl/>
          <w:lang w:eastAsia="zh-TW"/>
        </w:rPr>
        <w:t>] [</w:t>
      </w:r>
      <w:r>
        <w:rPr>
          <w:rtl/>
          <w:lang w:eastAsia="zh-TW"/>
        </w:rPr>
        <w:t>حرية الفرد وأمنه</w:t>
      </w:r>
      <w:r w:rsidRPr="00D1038E">
        <w:rPr>
          <w:color w:val="FF0000"/>
          <w:rtl/>
          <w:lang w:eastAsia="zh-TW"/>
        </w:rPr>
        <w:t>] [</w:t>
      </w:r>
      <w:r>
        <w:rPr>
          <w:rtl/>
          <w:lang w:eastAsia="zh-TW"/>
        </w:rPr>
        <w:t>حقوق الطفل</w:t>
      </w:r>
      <w:r w:rsidRPr="00D1038E">
        <w:rPr>
          <w:color w:val="FF0000"/>
          <w:rtl/>
          <w:lang w:eastAsia="zh-TW"/>
        </w:rPr>
        <w:t>] [</w:t>
      </w:r>
      <w:r>
        <w:rPr>
          <w:rtl/>
          <w:lang w:eastAsia="zh-TW"/>
        </w:rPr>
        <w:t>الحق في سبيل انتصاف فعّال</w:t>
      </w:r>
      <w:r w:rsidRPr="00D1038E">
        <w:rPr>
          <w:color w:val="FF0000"/>
          <w:rtl/>
          <w:lang w:eastAsia="zh-TW"/>
        </w:rPr>
        <w:t>] [</w:t>
      </w:r>
      <w:r>
        <w:rPr>
          <w:rtl/>
          <w:lang w:eastAsia="zh-TW"/>
        </w:rPr>
        <w:t>حرية التجمع</w:t>
      </w:r>
      <w:r w:rsidRPr="00B031D1">
        <w:rPr>
          <w:color w:val="FF0000"/>
          <w:rtl/>
          <w:lang w:eastAsia="zh-TW"/>
        </w:rPr>
        <w:t>] [</w:t>
      </w:r>
      <w:r>
        <w:rPr>
          <w:rtl/>
          <w:lang w:eastAsia="zh-TW"/>
        </w:rPr>
        <w:t>حرية الرأي والتعبير</w:t>
      </w:r>
      <w:r w:rsidRPr="00B031D1">
        <w:rPr>
          <w:color w:val="FF0000"/>
          <w:rtl/>
          <w:lang w:eastAsia="zh-TW"/>
        </w:rPr>
        <w:t>]</w:t>
      </w:r>
      <w:r>
        <w:rPr>
          <w:rtl/>
          <w:lang w:eastAsia="zh-TW"/>
        </w:rPr>
        <w:t xml:space="preserve"> </w:t>
      </w:r>
      <w:r w:rsidRPr="00D1038E">
        <w:rPr>
          <w:color w:val="FF0000"/>
          <w:rtl/>
          <w:lang w:eastAsia="zh-TW"/>
        </w:rPr>
        <w:t>[</w:t>
      </w:r>
      <w:r>
        <w:rPr>
          <w:rtl/>
          <w:lang w:eastAsia="zh-TW"/>
        </w:rPr>
        <w:t xml:space="preserve">الترحيل إلى </w:t>
      </w:r>
      <w:r w:rsidRPr="00D1038E">
        <w:rPr>
          <w:color w:val="FF0000"/>
          <w:rtl/>
          <w:lang w:eastAsia="zh-TW"/>
        </w:rPr>
        <w:t>البلد]</w:t>
      </w:r>
      <w:r>
        <w:rPr>
          <w:rtl/>
          <w:lang w:eastAsia="zh-TW"/>
        </w:rPr>
        <w:t xml:space="preserve"> </w:t>
      </w:r>
    </w:p>
    <w:p w:rsidR="00624D46" w:rsidRDefault="00624D46" w:rsidP="00624D46">
      <w:pPr>
        <w:pStyle w:val="SingleTxtGA"/>
        <w:rPr>
          <w:rtl/>
          <w:lang w:bidi="ar-DZ"/>
        </w:rPr>
      </w:pPr>
      <w:r>
        <w:rPr>
          <w:rtl/>
          <w:lang w:eastAsia="zh-TW"/>
        </w:rPr>
        <w:tab/>
        <w:t xml:space="preserve">قررت اللجنة، في جلستها المعقودة في </w:t>
      </w:r>
      <w:r w:rsidRPr="00D1038E">
        <w:rPr>
          <w:color w:val="FF0000"/>
          <w:rtl/>
          <w:lang w:eastAsia="zh-TW"/>
        </w:rPr>
        <w:t>التاريخ</w:t>
      </w:r>
      <w:r>
        <w:rPr>
          <w:rtl/>
          <w:lang w:eastAsia="zh-TW"/>
        </w:rPr>
        <w:t xml:space="preserve">، </w:t>
      </w:r>
      <w:r w:rsidRPr="00D1038E">
        <w:rPr>
          <w:color w:val="FF0000"/>
          <w:rtl/>
          <w:lang w:eastAsia="zh-TW"/>
        </w:rPr>
        <w:t xml:space="preserve">[في ضوء طلب مقدم من المحامي] [في ضوء عدم رد المحامي على طلبات </w:t>
      </w:r>
      <w:r>
        <w:rPr>
          <w:color w:val="FF0000"/>
          <w:rtl/>
          <w:lang w:eastAsia="zh-TW"/>
        </w:rPr>
        <w:t>ال</w:t>
      </w:r>
      <w:r w:rsidRPr="00D1038E">
        <w:rPr>
          <w:color w:val="FF0000"/>
          <w:rtl/>
          <w:lang w:eastAsia="zh-TW"/>
        </w:rPr>
        <w:t xml:space="preserve">توضيح] [وقد </w:t>
      </w:r>
      <w:r>
        <w:rPr>
          <w:color w:val="FF0000"/>
          <w:rtl/>
          <w:lang w:eastAsia="zh-TW"/>
        </w:rPr>
        <w:t>أُعلمت</w:t>
      </w:r>
      <w:r w:rsidRPr="00D1038E">
        <w:rPr>
          <w:color w:val="FF0000"/>
          <w:rtl/>
          <w:lang w:eastAsia="zh-TW"/>
        </w:rPr>
        <w:t xml:space="preserve"> أن صاحب البلاغ والدولة الطرف توصلا إلى اتفاق بشأن المسألة الموضوعية المثارة في البلاغ، وأن صاحب البلاغ لم يعد معرضا</w:t>
      </w:r>
      <w:r>
        <w:rPr>
          <w:color w:val="FF0000"/>
          <w:rtl/>
          <w:lang w:eastAsia="zh-TW"/>
        </w:rPr>
        <w:t>ً</w:t>
      </w:r>
      <w:r w:rsidRPr="00D1038E">
        <w:rPr>
          <w:color w:val="FF0000"/>
          <w:rtl/>
          <w:lang w:eastAsia="zh-TW"/>
        </w:rPr>
        <w:t xml:space="preserve"> لخطر الترحيل] [في ضوء عدم معرفة مكان وجود صاحب البلاغ في الوقت الراهن]</w:t>
      </w:r>
      <w:r>
        <w:rPr>
          <w:rtl/>
          <w:lang w:eastAsia="zh-TW"/>
        </w:rPr>
        <w:t xml:space="preserve">، وقف النظر في البلاغ رقم </w:t>
      </w:r>
      <w:r w:rsidRPr="00025417">
        <w:rPr>
          <w:color w:val="FF0000"/>
        </w:rPr>
        <w:t>XXX</w:t>
      </w:r>
      <w:r>
        <w:rPr>
          <w:b/>
          <w:bCs/>
          <w:rtl/>
          <w:lang w:eastAsia="zh-TW"/>
        </w:rPr>
        <w:t>/</w:t>
      </w:r>
      <w:r w:rsidRPr="00025417">
        <w:rPr>
          <w:color w:val="FF0000"/>
        </w:rPr>
        <w:t>YYYY</w:t>
      </w:r>
      <w:r w:rsidRPr="00C57DC4">
        <w:rPr>
          <w:rFonts w:hint="cs"/>
          <w:rtl/>
          <w:lang w:bidi="ar-DZ"/>
        </w:rPr>
        <w:t>.</w:t>
      </w:r>
    </w:p>
    <w:p w:rsidR="00624D46" w:rsidRPr="00C57DC4" w:rsidRDefault="00624D46" w:rsidP="00624D46">
      <w:pPr>
        <w:pStyle w:val="SingleTxtGA"/>
        <w:jc w:val="center"/>
        <w:rPr>
          <w:u w:val="single"/>
          <w:rtl/>
          <w:lang w:bidi="ar-DZ"/>
        </w:rPr>
      </w:pPr>
      <w:r>
        <w:rPr>
          <w:u w:val="single"/>
          <w:rtl/>
          <w:lang w:bidi="ar-DZ"/>
        </w:rPr>
        <w:tab/>
      </w:r>
      <w:r>
        <w:rPr>
          <w:u w:val="single"/>
          <w:rtl/>
          <w:lang w:bidi="ar-DZ"/>
        </w:rPr>
        <w:tab/>
      </w:r>
      <w:r>
        <w:rPr>
          <w:u w:val="single"/>
          <w:rtl/>
          <w:lang w:bidi="ar-DZ"/>
        </w:rPr>
        <w:tab/>
      </w:r>
    </w:p>
    <w:p w:rsidR="00761849" w:rsidRPr="00B54AB2" w:rsidRDefault="00761849" w:rsidP="00624D46">
      <w:pPr>
        <w:spacing w:before="120"/>
        <w:rPr>
          <w:sz w:val="24"/>
          <w:szCs w:val="24"/>
          <w:rtl/>
          <w:lang w:bidi="ar-DZ"/>
        </w:rPr>
      </w:pPr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624D46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624D46" w:rsidRPr="00C57DC4" w:rsidRDefault="00624D46" w:rsidP="00624D46">
      <w:pPr>
        <w:pStyle w:val="FootnoteText1"/>
        <w:rPr>
          <w:lang w:bidi="ar-DZ"/>
        </w:rPr>
      </w:pPr>
      <w:r>
        <w:rPr>
          <w:rtl/>
          <w:lang w:bidi="ar-DZ"/>
        </w:rPr>
        <w:t>*</w:t>
      </w:r>
      <w:r>
        <w:rPr>
          <w:rtl/>
          <w:lang w:bidi="ar-DZ"/>
        </w:rPr>
        <w:tab/>
      </w:r>
      <w:r w:rsidRPr="00C57DC4">
        <w:rPr>
          <w:rtl/>
          <w:lang w:bidi="ar-DZ"/>
        </w:rPr>
        <w:t xml:space="preserve">اعتمدتها اللجنة في دورتها </w:t>
      </w:r>
      <w:r w:rsidRPr="00C57DC4">
        <w:rPr>
          <w:color w:val="FF0000"/>
          <w:rtl/>
          <w:lang w:bidi="ar-DZ"/>
        </w:rPr>
        <w:t>الرقم</w:t>
      </w:r>
      <w:r w:rsidRPr="00C57DC4">
        <w:rPr>
          <w:rtl/>
          <w:lang w:bidi="ar-DZ"/>
        </w:rPr>
        <w:t xml:space="preserve"> (</w:t>
      </w:r>
      <w:r w:rsidRPr="00C57DC4">
        <w:rPr>
          <w:color w:val="FF0000"/>
          <w:rtl/>
          <w:lang w:bidi="ar-DZ"/>
        </w:rPr>
        <w:t>التواريخ</w:t>
      </w:r>
      <w:r w:rsidRPr="00C57DC4">
        <w:rPr>
          <w:rtl/>
          <w:lang w:bidi="ar-DZ"/>
        </w:rPr>
        <w:t>).</w:t>
      </w:r>
    </w:p>
  </w:footnote>
  <w:footnote w:id="2">
    <w:p w:rsidR="00624D46" w:rsidRPr="00C57DC4" w:rsidRDefault="00624D46" w:rsidP="00624D46">
      <w:pPr>
        <w:pStyle w:val="FootnoteText1"/>
        <w:rPr>
          <w:lang w:bidi="ar-DZ"/>
        </w:rPr>
      </w:pPr>
      <w:r>
        <w:rPr>
          <w:rtl/>
          <w:lang w:bidi="ar-DZ"/>
        </w:rPr>
        <w:t>**</w:t>
      </w:r>
      <w:r>
        <w:rPr>
          <w:rtl/>
          <w:lang w:bidi="ar-DZ"/>
        </w:rPr>
        <w:tab/>
      </w:r>
      <w:r w:rsidRPr="00C57DC4">
        <w:rPr>
          <w:rtl/>
          <w:lang w:bidi="ar-DZ"/>
        </w:rPr>
        <w:t xml:space="preserve">شارك في دراسة هذا البلاغ أعضاء اللجنة التالية أسماؤهم: تانيا ماريا عبده </w:t>
      </w:r>
      <w:proofErr w:type="spellStart"/>
      <w:r w:rsidRPr="00C57DC4">
        <w:rPr>
          <w:rtl/>
          <w:lang w:bidi="ar-DZ"/>
        </w:rPr>
        <w:t>روتشول</w:t>
      </w:r>
      <w:proofErr w:type="spellEnd"/>
      <w:r w:rsidRPr="00C57DC4">
        <w:rPr>
          <w:rtl/>
          <w:lang w:bidi="ar-DZ"/>
        </w:rPr>
        <w:t xml:space="preserve">، وعياض بن عاشور، </w:t>
      </w:r>
      <w:proofErr w:type="spellStart"/>
      <w:r w:rsidRPr="00C57DC4">
        <w:rPr>
          <w:rtl/>
          <w:lang w:bidi="ar-DZ"/>
        </w:rPr>
        <w:t>وإيلزي</w:t>
      </w:r>
      <w:proofErr w:type="spellEnd"/>
      <w:r w:rsidRPr="00C57DC4">
        <w:rPr>
          <w:rtl/>
          <w:lang w:bidi="ar-DZ"/>
        </w:rPr>
        <w:t xml:space="preserve"> </w:t>
      </w:r>
      <w:proofErr w:type="spellStart"/>
      <w:r w:rsidRPr="00C57DC4">
        <w:rPr>
          <w:rtl/>
          <w:lang w:bidi="ar-DZ"/>
        </w:rPr>
        <w:t>براندس</w:t>
      </w:r>
      <w:proofErr w:type="spellEnd"/>
      <w:r w:rsidRPr="00C57DC4">
        <w:rPr>
          <w:rtl/>
          <w:lang w:bidi="ar-DZ"/>
        </w:rPr>
        <w:t xml:space="preserve"> </w:t>
      </w:r>
      <w:proofErr w:type="spellStart"/>
      <w:r w:rsidRPr="00C57DC4">
        <w:rPr>
          <w:rtl/>
          <w:lang w:bidi="ar-DZ"/>
        </w:rPr>
        <w:t>كيهريس</w:t>
      </w:r>
      <w:proofErr w:type="spellEnd"/>
      <w:r w:rsidRPr="00C57DC4">
        <w:rPr>
          <w:rtl/>
          <w:lang w:bidi="ar-DZ"/>
        </w:rPr>
        <w:t xml:space="preserve">، </w:t>
      </w:r>
      <w:proofErr w:type="spellStart"/>
      <w:r w:rsidRPr="00C57DC4">
        <w:rPr>
          <w:rtl/>
          <w:lang w:bidi="ar-DZ"/>
        </w:rPr>
        <w:t>وأوليفييه</w:t>
      </w:r>
      <w:proofErr w:type="spellEnd"/>
      <w:r w:rsidRPr="00C57DC4">
        <w:rPr>
          <w:rtl/>
          <w:lang w:bidi="ar-DZ"/>
        </w:rPr>
        <w:t xml:space="preserve"> دي </w:t>
      </w:r>
      <w:proofErr w:type="spellStart"/>
      <w:r w:rsidRPr="00C57DC4">
        <w:rPr>
          <w:rtl/>
          <w:lang w:bidi="ar-DZ"/>
        </w:rPr>
        <w:t>فروفيل</w:t>
      </w:r>
      <w:proofErr w:type="spellEnd"/>
      <w:r w:rsidRPr="00C57DC4">
        <w:rPr>
          <w:rtl/>
          <w:lang w:bidi="ar-DZ"/>
        </w:rPr>
        <w:t xml:space="preserve">، وكريستوف </w:t>
      </w:r>
      <w:proofErr w:type="spellStart"/>
      <w:r w:rsidRPr="00C57DC4">
        <w:rPr>
          <w:rtl/>
          <w:lang w:bidi="ar-DZ"/>
        </w:rPr>
        <w:t>هينز</w:t>
      </w:r>
      <w:proofErr w:type="spellEnd"/>
      <w:r w:rsidRPr="00C57DC4">
        <w:rPr>
          <w:rtl/>
          <w:lang w:bidi="ar-DZ"/>
        </w:rPr>
        <w:t xml:space="preserve">، ويوجي </w:t>
      </w:r>
      <w:proofErr w:type="spellStart"/>
      <w:r w:rsidRPr="00C57DC4">
        <w:rPr>
          <w:rtl/>
          <w:lang w:bidi="ar-DZ"/>
        </w:rPr>
        <w:t>إواساوا</w:t>
      </w:r>
      <w:proofErr w:type="spellEnd"/>
      <w:r w:rsidRPr="00C57DC4">
        <w:rPr>
          <w:rtl/>
          <w:lang w:bidi="ar-DZ"/>
        </w:rPr>
        <w:t xml:space="preserve">، </w:t>
      </w:r>
      <w:proofErr w:type="spellStart"/>
      <w:r w:rsidRPr="00C57DC4">
        <w:rPr>
          <w:rtl/>
          <w:lang w:bidi="ar-DZ"/>
        </w:rPr>
        <w:t>وبا</w:t>
      </w:r>
      <w:proofErr w:type="spellEnd"/>
      <w:r w:rsidRPr="00C57DC4">
        <w:rPr>
          <w:rtl/>
          <w:lang w:bidi="ar-DZ"/>
        </w:rPr>
        <w:t xml:space="preserve"> مريم كويتا، </w:t>
      </w:r>
      <w:proofErr w:type="spellStart"/>
      <w:r w:rsidRPr="00C57DC4">
        <w:rPr>
          <w:rtl/>
          <w:lang w:bidi="ar-DZ"/>
        </w:rPr>
        <w:t>ومارسيا</w:t>
      </w:r>
      <w:proofErr w:type="spellEnd"/>
      <w:r w:rsidRPr="00C57DC4">
        <w:rPr>
          <w:rtl/>
          <w:lang w:bidi="ar-DZ"/>
        </w:rPr>
        <w:t xml:space="preserve"> ف.</w:t>
      </w:r>
      <w:r>
        <w:rPr>
          <w:rFonts w:hint="cs"/>
          <w:rtl/>
          <w:lang w:bidi="ar-DZ"/>
        </w:rPr>
        <w:t> </w:t>
      </w:r>
      <w:r w:rsidRPr="00C57DC4">
        <w:rPr>
          <w:rtl/>
          <w:lang w:bidi="ar-DZ"/>
        </w:rPr>
        <w:t xml:space="preserve">ج. كران، </w:t>
      </w:r>
      <w:proofErr w:type="spellStart"/>
      <w:r w:rsidRPr="00C57DC4">
        <w:rPr>
          <w:rtl/>
          <w:lang w:bidi="ar-DZ"/>
        </w:rPr>
        <w:t>ودنكان</w:t>
      </w:r>
      <w:proofErr w:type="spellEnd"/>
      <w:r w:rsidRPr="00C57DC4">
        <w:rPr>
          <w:rtl/>
          <w:lang w:bidi="ar-DZ"/>
        </w:rPr>
        <w:t xml:space="preserve"> </w:t>
      </w:r>
      <w:proofErr w:type="spellStart"/>
      <w:r w:rsidRPr="00C57DC4">
        <w:rPr>
          <w:rtl/>
          <w:lang w:bidi="ar-DZ"/>
        </w:rPr>
        <w:t>لاكي</w:t>
      </w:r>
      <w:proofErr w:type="spellEnd"/>
      <w:r w:rsidRPr="00C57DC4">
        <w:rPr>
          <w:rtl/>
          <w:lang w:bidi="ar-DZ"/>
        </w:rPr>
        <w:t xml:space="preserve"> </w:t>
      </w:r>
      <w:proofErr w:type="spellStart"/>
      <w:r w:rsidRPr="00C57DC4">
        <w:rPr>
          <w:rtl/>
          <w:lang w:bidi="ar-DZ"/>
        </w:rPr>
        <w:t>موهوموزا</w:t>
      </w:r>
      <w:proofErr w:type="spellEnd"/>
      <w:r w:rsidRPr="00C57DC4">
        <w:rPr>
          <w:rtl/>
          <w:lang w:bidi="ar-DZ"/>
        </w:rPr>
        <w:t xml:space="preserve">، وفوتيني </w:t>
      </w:r>
      <w:proofErr w:type="spellStart"/>
      <w:r w:rsidRPr="00C57DC4">
        <w:rPr>
          <w:rtl/>
          <w:lang w:bidi="ar-DZ"/>
        </w:rPr>
        <w:t>بازارتزيس</w:t>
      </w:r>
      <w:proofErr w:type="spellEnd"/>
      <w:r w:rsidRPr="00C57DC4">
        <w:rPr>
          <w:rtl/>
          <w:lang w:bidi="ar-DZ"/>
        </w:rPr>
        <w:t xml:space="preserve">، </w:t>
      </w:r>
      <w:proofErr w:type="spellStart"/>
      <w:r w:rsidRPr="00C57DC4">
        <w:rPr>
          <w:rtl/>
          <w:lang w:bidi="ar-DZ"/>
        </w:rPr>
        <w:t>وماورو</w:t>
      </w:r>
      <w:proofErr w:type="spellEnd"/>
      <w:r w:rsidRPr="00C57DC4">
        <w:rPr>
          <w:rtl/>
          <w:lang w:bidi="ar-DZ"/>
        </w:rPr>
        <w:t xml:space="preserve"> بوليتي، وخوسيه مانويل سانتوس </w:t>
      </w:r>
      <w:proofErr w:type="spellStart"/>
      <w:r w:rsidRPr="00C57DC4">
        <w:rPr>
          <w:rtl/>
          <w:lang w:bidi="ar-DZ"/>
        </w:rPr>
        <w:t>باييس</w:t>
      </w:r>
      <w:proofErr w:type="spellEnd"/>
      <w:r w:rsidRPr="00C57DC4">
        <w:rPr>
          <w:rtl/>
          <w:lang w:bidi="ar-DZ"/>
        </w:rPr>
        <w:t xml:space="preserve">، ويوفال </w:t>
      </w:r>
      <w:proofErr w:type="spellStart"/>
      <w:r w:rsidRPr="00C57DC4">
        <w:rPr>
          <w:rtl/>
          <w:lang w:bidi="ar-DZ"/>
        </w:rPr>
        <w:t>شاني</w:t>
      </w:r>
      <w:proofErr w:type="spellEnd"/>
      <w:r w:rsidRPr="00C57DC4">
        <w:rPr>
          <w:rtl/>
          <w:lang w:bidi="ar-DZ"/>
        </w:rPr>
        <w:t xml:space="preserve">، ومارغو </w:t>
      </w:r>
      <w:proofErr w:type="spellStart"/>
      <w:r w:rsidRPr="00C57DC4">
        <w:rPr>
          <w:rtl/>
          <w:lang w:bidi="ar-DZ"/>
        </w:rPr>
        <w:t>واترفال</w:t>
      </w:r>
      <w:proofErr w:type="spellEnd"/>
      <w:r w:rsidRPr="00C57DC4">
        <w:rPr>
          <w:rtl/>
          <w:lang w:bidi="ar-DZ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84A39"/>
    <w:rsid w:val="00090618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14670"/>
    <w:rsid w:val="002234D2"/>
    <w:rsid w:val="0023469A"/>
    <w:rsid w:val="00243C8A"/>
    <w:rsid w:val="00267A0E"/>
    <w:rsid w:val="002901D9"/>
    <w:rsid w:val="002976C2"/>
    <w:rsid w:val="002B29EB"/>
    <w:rsid w:val="003260FF"/>
    <w:rsid w:val="00343D95"/>
    <w:rsid w:val="00373102"/>
    <w:rsid w:val="00374341"/>
    <w:rsid w:val="00384DA7"/>
    <w:rsid w:val="003C0A95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24D46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52D03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BC20D8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90803-E880-478F-8051-F75C07DDB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3</cp:revision>
  <cp:lastPrinted>2016-06-21T10:29:00Z</cp:lastPrinted>
  <dcterms:created xsi:type="dcterms:W3CDTF">2018-05-29T11:49:00Z</dcterms:created>
  <dcterms:modified xsi:type="dcterms:W3CDTF">2018-05-29T12:01:00Z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