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F3DD9" w:rsidRPr="006D7B24" w:rsidRDefault="00AF3DD9" w:rsidP="00AF3DD9">
      <w:pPr>
        <w:spacing w:before="120" w:line="380" w:lineRule="exact"/>
        <w:rPr>
          <w:b/>
          <w:bCs/>
          <w:sz w:val="26"/>
          <w:szCs w:val="36"/>
          <w:lang w:eastAsia="zh-TW"/>
        </w:rPr>
      </w:pPr>
      <w:r w:rsidRPr="006D7B24">
        <w:rPr>
          <w:b/>
          <w:bCs/>
          <w:sz w:val="26"/>
          <w:szCs w:val="36"/>
          <w:rtl/>
          <w:lang w:eastAsia="zh-TW"/>
        </w:rPr>
        <w:t>اللجنة المعنية بحالات الاختفاء القسري</w:t>
      </w:r>
    </w:p>
    <w:p w:rsidR="00AF3DD9" w:rsidRPr="006D7B24" w:rsidRDefault="00AF3DD9" w:rsidP="00AF3DD9">
      <w:pPr>
        <w:pStyle w:val="HChGA"/>
        <w:rPr>
          <w:spacing w:val="-4"/>
          <w:sz w:val="24"/>
          <w:rtl/>
          <w:lang w:eastAsia="zh-TW"/>
        </w:rPr>
      </w:pPr>
      <w:r w:rsidRPr="006D7B24">
        <w:rPr>
          <w:rFonts w:hint="cs"/>
          <w:spacing w:val="-4"/>
          <w:rtl/>
          <w:lang w:val="fr-CH" w:eastAsia="zh-TW"/>
        </w:rPr>
        <w:tab/>
      </w:r>
      <w:r w:rsidRPr="006D7B24">
        <w:rPr>
          <w:rFonts w:hint="cs"/>
          <w:spacing w:val="-4"/>
          <w:rtl/>
          <w:lang w:val="fr-CH" w:eastAsia="zh-TW"/>
        </w:rPr>
        <w:tab/>
      </w:r>
      <w:r w:rsidRPr="006D7B24">
        <w:rPr>
          <w:spacing w:val="-4"/>
          <w:rtl/>
          <w:lang w:val="fr-CH" w:eastAsia="zh-TW"/>
        </w:rPr>
        <w:t xml:space="preserve">قائمة المسائل المتصلة بالتقرير المقدم من </w:t>
      </w:r>
      <w:r w:rsidRPr="006D7B24">
        <w:rPr>
          <w:color w:val="FF0000"/>
          <w:spacing w:val="-4"/>
          <w:rtl/>
          <w:lang w:val="fr-CH" w:eastAsia="zh-TW"/>
        </w:rPr>
        <w:t xml:space="preserve">البلد </w:t>
      </w:r>
      <w:r w:rsidRPr="006D7B24">
        <w:rPr>
          <w:spacing w:val="-4"/>
          <w:rtl/>
          <w:lang w:val="fr-CH" w:eastAsia="zh-TW"/>
        </w:rPr>
        <w:t>بموجب المادة 29(1) من الاتفاقية</w:t>
      </w:r>
      <w:r w:rsidRPr="00AF3DD9">
        <w:rPr>
          <w:sz w:val="20"/>
          <w:szCs w:val="28"/>
          <w:rtl/>
        </w:rPr>
        <w:footnoteReference w:customMarkFollows="1" w:id="1"/>
        <w:t>*</w:t>
      </w:r>
    </w:p>
    <w:p w:rsidR="00AF3DD9" w:rsidRPr="00B66FC5" w:rsidRDefault="00AF3DD9" w:rsidP="00AF3DD9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أولا</w:t>
      </w:r>
      <w:r>
        <w:rPr>
          <w:rtl/>
          <w:lang w:eastAsia="zh-TW"/>
        </w:rPr>
        <w:t>ً</w:t>
      </w:r>
      <w:r w:rsidRPr="00B66FC5">
        <w:rPr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dir w:val="rtl">
        <w:r w:rsidRPr="00B66FC5">
          <w:rPr>
            <w:rtl/>
            <w:lang w:eastAsia="zh-TW"/>
          </w:rPr>
          <w:t>معلومات عامة</w:t>
        </w:r>
        <w:r w:rsidRPr="00B66FC5">
          <w:rPr>
            <w:rFonts w:cs="Times New Roman" w:hint="cs"/>
            <w:rtl/>
            <w:lang w:eastAsia="zh-TW"/>
          </w:rPr>
          <w:t>‬</w:t>
        </w:r>
        <w:r w:rsidRPr="00B66FC5"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F3DD9" w:rsidRPr="00B66FC5" w:rsidRDefault="00AF3DD9" w:rsidP="00AF3DD9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ثانيا</w:t>
      </w:r>
      <w:r>
        <w:rPr>
          <w:rtl/>
          <w:lang w:eastAsia="zh-TW"/>
        </w:rPr>
        <w:t>ً</w:t>
      </w:r>
      <w:r w:rsidRPr="00B66FC5">
        <w:rPr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تعريف ال</w:t>
      </w:r>
      <w:r>
        <w:rPr>
          <w:rtl/>
          <w:lang w:eastAsia="zh-TW"/>
        </w:rPr>
        <w:t>اختفاء القسري وتجريمه (المواد 1-</w:t>
      </w:r>
      <w:proofErr w:type="gramStart"/>
      <w:r w:rsidRPr="00B66FC5">
        <w:rPr>
          <w:rtl/>
          <w:lang w:eastAsia="zh-TW"/>
        </w:rPr>
        <w:t>7)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proofErr w:type="gramEnd"/>
      <w:r w:rsidRPr="00B66FC5">
        <w:rPr>
          <w:rtl/>
          <w:lang w:eastAsia="zh-TW"/>
        </w:rPr>
        <w:t xml:space="preserve"> 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rPr>
          <w:rFonts w:cs="Times New Roman" w:hint="cs"/>
          <w:rtl/>
          <w:lang w:eastAsia="zh-TW"/>
        </w:rPr>
        <w:t>‬</w:t>
      </w:r>
    </w:p>
    <w:p w:rsidR="00AF3DD9" w:rsidRPr="00B66FC5" w:rsidRDefault="00AF3DD9" w:rsidP="00AF3DD9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ثالثا</w:t>
      </w:r>
      <w:r>
        <w:rPr>
          <w:rtl/>
          <w:lang w:eastAsia="zh-TW"/>
        </w:rPr>
        <w:t>ً</w:t>
      </w:r>
      <w:r w:rsidRPr="00B66FC5">
        <w:rPr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dir w:val="rtl">
        <w:r w:rsidRPr="00B66FC5">
          <w:rPr>
            <w:rtl/>
            <w:lang w:eastAsia="zh-TW"/>
          </w:rPr>
          <w:t>الإجراءات القضائية والتعاو</w:t>
        </w:r>
        <w:r>
          <w:rPr>
            <w:rtl/>
            <w:lang w:eastAsia="zh-TW"/>
          </w:rPr>
          <w:t>ن في المسائل الجنائية (المواد 8-</w:t>
        </w:r>
        <w:proofErr w:type="gramStart"/>
        <w:r w:rsidRPr="00B66FC5">
          <w:rPr>
            <w:rtl/>
            <w:lang w:eastAsia="zh-TW"/>
          </w:rPr>
          <w:t>15</w:t>
        </w:r>
        <w:bookmarkStart w:id="0" w:name="_GoBack"/>
        <w:bookmarkEnd w:id="0"/>
        <w:r w:rsidRPr="00B66FC5">
          <w:rPr>
            <w:rtl/>
            <w:lang w:eastAsia="zh-TW"/>
          </w:rPr>
          <w:t>)</w:t>
        </w:r>
        <w:r w:rsidRPr="00B66FC5">
          <w:rPr>
            <w:rFonts w:cs="Times New Roman" w:hint="cs"/>
            <w:rtl/>
            <w:lang w:eastAsia="zh-TW"/>
          </w:rPr>
          <w:t>‬</w:t>
        </w:r>
        <w:r w:rsidRPr="00B66FC5">
          <w:t>‬</w:t>
        </w:r>
        <w:proofErr w:type="gramEnd"/>
        <w:r>
          <w:t>‬</w:t>
        </w:r>
        <w:r>
          <w:t>‬</w:t>
        </w:r>
        <w:r>
          <w:t>‬</w:t>
        </w:r>
        <w:r>
          <w:t>‬</w:t>
        </w:r>
      </w:dir>
    </w:p>
    <w:p w:rsidR="00AF3DD9" w:rsidRPr="00B66FC5" w:rsidRDefault="00AF3DD9" w:rsidP="00AF3DD9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رابعا</w:t>
      </w:r>
      <w:r>
        <w:rPr>
          <w:rtl/>
          <w:lang w:eastAsia="zh-TW"/>
        </w:rPr>
        <w:t>ً</w:t>
      </w:r>
      <w:r w:rsidRPr="00B66FC5">
        <w:rPr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r w:rsidRPr="00B66FC5">
        <w:rPr>
          <w:rtl/>
          <w:lang w:eastAsia="zh-TW"/>
        </w:rPr>
        <w:t>تدابير م</w:t>
      </w:r>
      <w:r>
        <w:rPr>
          <w:rtl/>
          <w:lang w:eastAsia="zh-TW"/>
        </w:rPr>
        <w:t>نع الاختفاء القسري (المواد 16-</w:t>
      </w:r>
      <w:proofErr w:type="gramStart"/>
      <w:r w:rsidRPr="00B66FC5">
        <w:rPr>
          <w:rtl/>
          <w:lang w:eastAsia="zh-TW"/>
        </w:rPr>
        <w:t>23)</w:t>
      </w:r>
      <w:r w:rsidRPr="00B66FC5">
        <w:rPr>
          <w:rFonts w:cs="Times New Roman" w:hint="cs"/>
          <w:rtl/>
          <w:lang w:eastAsia="zh-TW"/>
        </w:rPr>
        <w:t>‬</w:t>
      </w:r>
      <w:r w:rsidRPr="00B66FC5">
        <w:t>‬</w:t>
      </w:r>
      <w:proofErr w:type="gramEnd"/>
    </w:p>
    <w:p w:rsidR="00AF3DD9" w:rsidRDefault="00AF3DD9" w:rsidP="00AF3DD9">
      <w:pPr>
        <w:pStyle w:val="HChGA"/>
        <w:jc w:val="left"/>
        <w:rPr>
          <w:rtl/>
        </w:rPr>
      </w:pPr>
      <w:r w:rsidRPr="006D7B24">
        <w:rPr>
          <w:rFonts w:hint="cs"/>
          <w:rtl/>
          <w:lang w:eastAsia="zh-TW"/>
        </w:rPr>
        <w:tab/>
      </w:r>
      <w:r w:rsidRPr="006D7B24">
        <w:rPr>
          <w:rtl/>
          <w:lang w:eastAsia="zh-TW"/>
        </w:rPr>
        <w:t>خامساً-</w:t>
      </w:r>
      <w:r w:rsidRPr="006D7B24">
        <w:rPr>
          <w:rFonts w:hint="cs"/>
          <w:rtl/>
          <w:lang w:eastAsia="zh-TW"/>
        </w:rPr>
        <w:tab/>
      </w:r>
      <w:dir w:val="rtl">
        <w:r w:rsidRPr="006D7B24">
          <w:rPr>
            <w:rtl/>
            <w:lang w:eastAsia="zh-TW"/>
          </w:rPr>
          <w:t>تدابير جبر الضرر وحماية الأطفال من الاختفاء القسري</w:t>
        </w:r>
        <w:r>
          <w:rPr>
            <w:rFonts w:hint="cs"/>
            <w:rtl/>
            <w:lang w:eastAsia="zh-TW"/>
          </w:rPr>
          <w:t xml:space="preserve">        </w:t>
        </w:r>
        <w:proofErr w:type="gramStart"/>
        <w:r>
          <w:rPr>
            <w:rFonts w:hint="cs"/>
            <w:rtl/>
            <w:lang w:eastAsia="zh-TW"/>
          </w:rPr>
          <w:t xml:space="preserve">   </w:t>
        </w:r>
        <w:r w:rsidRPr="006D7B24">
          <w:rPr>
            <w:rtl/>
            <w:lang w:eastAsia="zh-TW"/>
          </w:rPr>
          <w:t>(</w:t>
        </w:r>
        <w:proofErr w:type="gramEnd"/>
        <w:r w:rsidRPr="006D7B24">
          <w:rPr>
            <w:rtl/>
            <w:lang w:eastAsia="zh-TW"/>
          </w:rPr>
          <w:t>المادتان 24</w:t>
        </w:r>
        <w:r>
          <w:rPr>
            <w:rFonts w:hint="cs"/>
            <w:rtl/>
            <w:lang w:eastAsia="zh-TW"/>
          </w:rPr>
          <w:t> </w:t>
        </w:r>
        <w:r w:rsidRPr="006D7B24">
          <w:rPr>
            <w:rtl/>
            <w:lang w:eastAsia="zh-TW"/>
          </w:rPr>
          <w:t>و25)</w:t>
        </w:r>
        <w:r w:rsidRPr="006D7B24">
          <w:rPr>
            <w:rFonts w:cs="Times New Roman" w:hint="cs"/>
            <w:rtl/>
            <w:lang w:eastAsia="zh-TW"/>
          </w:rPr>
          <w:t>‬</w:t>
        </w:r>
        <w:r w:rsidRPr="006D7B24">
          <w:t>‬</w:t>
        </w:r>
        <w:r w:rsidRPr="006D7B24">
          <w:t>‬</w:t>
        </w:r>
        <w:r>
          <w:t>‬</w:t>
        </w:r>
        <w:r>
          <w:t>‬</w:t>
        </w:r>
        <w:r>
          <w:t>‬</w:t>
        </w:r>
      </w:dir>
    </w:p>
    <w:p w:rsidR="00AF3DD9" w:rsidRPr="00F37375" w:rsidRDefault="00AF3DD9" w:rsidP="00AF3DD9">
      <w:pPr>
        <w:spacing w:before="120"/>
        <w:jc w:val="center"/>
        <w:rPr>
          <w:u w:val="single"/>
        </w:rPr>
      </w:pPr>
      <w:r>
        <w:rPr>
          <w:u w:val="single"/>
          <w:rtl/>
        </w:rPr>
        <w:tab/>
      </w:r>
      <w:r>
        <w:rPr>
          <w:u w:val="single"/>
          <w:rtl/>
        </w:rPr>
        <w:tab/>
      </w:r>
      <w:r>
        <w:rPr>
          <w:u w:val="single"/>
          <w:rtl/>
        </w:rPr>
        <w:tab/>
      </w:r>
    </w:p>
    <w:p w:rsidR="00CD6301" w:rsidRPr="00AF3DD9" w:rsidRDefault="00CD6301" w:rsidP="00AF3DD9">
      <w:pPr>
        <w:pStyle w:val="SingleTxtGA"/>
        <w:spacing w:before="120" w:after="0"/>
        <w:ind w:left="0" w:right="0"/>
        <w:rPr>
          <w:rFonts w:hint="cs"/>
          <w:rtl/>
        </w:rPr>
      </w:pPr>
    </w:p>
    <w:sectPr w:rsidR="00CD6301" w:rsidRPr="00AF3DD9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F3DD9" w:rsidRPr="00373694" w:rsidRDefault="00AF3DD9" w:rsidP="00AF3DD9">
      <w:pPr>
        <w:pStyle w:val="FootnoteText1"/>
        <w:spacing w:after="240"/>
        <w:ind w:hanging="441"/>
        <w:rPr>
          <w:rtl/>
        </w:rPr>
      </w:pPr>
      <w:r w:rsidRPr="006D7B24">
        <w:rPr>
          <w:rStyle w:val="FootnoteReference"/>
          <w:szCs w:val="26"/>
          <w:vertAlign w:val="baseline"/>
          <w:rtl/>
        </w:rPr>
        <w:t>*</w:t>
      </w:r>
      <w:r w:rsidRPr="00373694">
        <w:rPr>
          <w:rtl/>
        </w:rPr>
        <w:tab/>
      </w:r>
      <w:r w:rsidRPr="00373694">
        <w:rPr>
          <w:rFonts w:hint="cs"/>
          <w:spacing w:val="6"/>
          <w:kern w:val="16"/>
          <w:rtl/>
        </w:rPr>
        <w:t xml:space="preserve">اعتمدتها اللجنة في دورتها </w:t>
      </w:r>
      <w:r w:rsidRPr="00373694">
        <w:rPr>
          <w:rStyle w:val="RedFont"/>
          <w:rFonts w:hint="cs"/>
          <w:rtl/>
        </w:rPr>
        <w:t>الرقم</w:t>
      </w:r>
      <w:r w:rsidRPr="00373694">
        <w:rPr>
          <w:rFonts w:hint="cs"/>
          <w:spacing w:val="6"/>
          <w:kern w:val="16"/>
          <w:rtl/>
        </w:rPr>
        <w:t xml:space="preserve"> (</w:t>
      </w:r>
      <w:r w:rsidRPr="00373694">
        <w:rPr>
          <w:rStyle w:val="RedFont"/>
          <w:rFonts w:hint="cs"/>
          <w:rtl/>
        </w:rPr>
        <w:t>التواريخ</w:t>
      </w:r>
      <w:r w:rsidRPr="00373694">
        <w:rPr>
          <w:rFonts w:hint="cs"/>
          <w:spacing w:val="6"/>
          <w:kern w:val="16"/>
          <w:rtl/>
        </w:rPr>
        <w:t>)</w:t>
      </w:r>
      <w:r w:rsidRPr="00373694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AF3DD9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3E38DF64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3DAF2-486E-4C00-8328-FA708744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2018-05-29T14:42:00Z</dcterms:created>
  <dcterms:modified xsi:type="dcterms:W3CDTF">2018-05-29T14:42:00Z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