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>
            <w:bookmarkStart w:id="0" w:name="_GoBack"/>
            <w:bookmarkEnd w:id="0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CEDAW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8D65D8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607466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8B759B">
              <w:rPr>
                <w:b/>
                <w:spacing w:val="-4"/>
                <w:sz w:val="34"/>
                <w:szCs w:val="34"/>
              </w:rPr>
              <w:t>Конвенция</w:t>
            </w:r>
            <w:r w:rsidRPr="00511D6E">
              <w:rPr>
                <w:b/>
                <w:spacing w:val="-4"/>
                <w:sz w:val="34"/>
                <w:szCs w:val="34"/>
              </w:rPr>
              <w:t xml:space="preserve"> </w:t>
            </w:r>
            <w:r w:rsidRPr="008B759B">
              <w:rPr>
                <w:b/>
                <w:spacing w:val="-4"/>
                <w:sz w:val="34"/>
                <w:szCs w:val="34"/>
              </w:rPr>
              <w:t>о ликвидации</w:t>
            </w:r>
            <w:r w:rsidRPr="008B759B">
              <w:rPr>
                <w:b/>
                <w:spacing w:val="-4"/>
                <w:sz w:val="34"/>
                <w:szCs w:val="34"/>
              </w:rPr>
              <w:br/>
              <w:t>всех форм дискриминации</w:t>
            </w:r>
            <w:r w:rsidRPr="008B759B">
              <w:rPr>
                <w:b/>
                <w:spacing w:val="-4"/>
                <w:sz w:val="34"/>
                <w:szCs w:val="34"/>
              </w:rPr>
              <w:br/>
              <w:t>в отношении женщин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607466" w:rsidRDefault="00607466" w:rsidP="00607466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4220E4">
        <w:rPr>
          <w:b/>
          <w:bCs/>
          <w:sz w:val="24"/>
          <w:szCs w:val="24"/>
        </w:rPr>
        <w:t xml:space="preserve">Комитет по ликвидации дискриминации </w:t>
      </w:r>
      <w:r w:rsidRPr="004220E4">
        <w:rPr>
          <w:b/>
          <w:bCs/>
          <w:sz w:val="24"/>
          <w:szCs w:val="24"/>
        </w:rPr>
        <w:br/>
        <w:t>в отношении женщин</w:t>
      </w:r>
    </w:p>
    <w:p w:rsidR="00097E33" w:rsidRPr="00DD2A6A" w:rsidRDefault="00097E33" w:rsidP="00097E33">
      <w:pPr>
        <w:pStyle w:val="HChG"/>
      </w:pPr>
      <w:r w:rsidRPr="00DD2A6A">
        <w:tab/>
      </w:r>
      <w:r w:rsidRPr="00DD2A6A">
        <w:tab/>
        <w:t xml:space="preserve">Заключительные замечания по </w:t>
      </w:r>
      <w:r w:rsidRPr="00DD2A6A">
        <w:rPr>
          <w:color w:val="FF0000"/>
        </w:rPr>
        <w:t xml:space="preserve">[первоначальному] [объединенным номера периодическим] [номер периодическому] </w:t>
      </w:r>
      <w:r w:rsidRPr="00DD2A6A">
        <w:t>докладу/</w:t>
      </w:r>
      <w:r w:rsidRPr="00DD2A6A">
        <w:rPr>
          <w:color w:val="FF0000"/>
        </w:rPr>
        <w:t>докладам страны</w:t>
      </w:r>
      <w:r w:rsidRPr="00DD2A6A">
        <w:rPr>
          <w:b w:val="0"/>
          <w:sz w:val="20"/>
        </w:rPr>
        <w:footnoteReference w:customMarkFollows="1" w:id="1"/>
        <w:t>*</w:t>
      </w:r>
    </w:p>
    <w:p w:rsidR="00097E33" w:rsidRPr="00DD2A6A" w:rsidRDefault="00097E33" w:rsidP="00097E33">
      <w:pPr>
        <w:pStyle w:val="SingleTxtG"/>
      </w:pPr>
      <w:r w:rsidRPr="00DD2A6A">
        <w:t>1.</w:t>
      </w:r>
      <w:r>
        <w:tab/>
      </w:r>
      <w:r w:rsidRPr="00DD2A6A">
        <w:t xml:space="preserve">Комитет рассмотрел </w:t>
      </w:r>
      <w:r w:rsidRPr="00DD2A6A">
        <w:rPr>
          <w:color w:val="FF0000"/>
        </w:rPr>
        <w:t>[первоначальный] [объединенные номера периодические] [номер периодический]</w:t>
      </w:r>
      <w:r w:rsidRPr="00DD2A6A">
        <w:t xml:space="preserve"> доклад/</w:t>
      </w:r>
      <w:r w:rsidRPr="00DD2A6A">
        <w:rPr>
          <w:color w:val="FF0000"/>
        </w:rPr>
        <w:t>доклады страны</w:t>
      </w:r>
      <w:r w:rsidRPr="00DD2A6A">
        <w:t xml:space="preserve"> (CEDAW/C/</w:t>
      </w:r>
      <w:r w:rsidRPr="00DD2A6A">
        <w:rPr>
          <w:color w:val="FF0000"/>
        </w:rPr>
        <w:t>XXX</w:t>
      </w:r>
      <w:r w:rsidRPr="00DD2A6A">
        <w:t>/</w:t>
      </w:r>
      <w:r w:rsidRPr="00DD2A6A">
        <w:rPr>
          <w:color w:val="FF0000"/>
        </w:rPr>
        <w:t>Y</w:t>
      </w:r>
      <w:r w:rsidRPr="00DD2A6A">
        <w:t xml:space="preserve">) на своих </w:t>
      </w:r>
      <w:r w:rsidRPr="00DD2A6A">
        <w:rPr>
          <w:color w:val="FF0000"/>
        </w:rPr>
        <w:t xml:space="preserve">номер </w:t>
      </w:r>
      <w:r w:rsidRPr="00DD2A6A">
        <w:t xml:space="preserve">и </w:t>
      </w:r>
      <w:r w:rsidRPr="00DD2A6A">
        <w:rPr>
          <w:color w:val="FF0000"/>
        </w:rPr>
        <w:t xml:space="preserve">номер </w:t>
      </w:r>
      <w:r w:rsidRPr="00DD2A6A">
        <w:t>заседаниях (см. CEDAW/C/SR.</w:t>
      </w:r>
      <w:r w:rsidRPr="00DD2A6A">
        <w:rPr>
          <w:color w:val="FF0000"/>
        </w:rPr>
        <w:t xml:space="preserve">XXX </w:t>
      </w:r>
      <w:r w:rsidRPr="00DD2A6A">
        <w:t xml:space="preserve">и </w:t>
      </w:r>
      <w:r w:rsidRPr="00DD2A6A">
        <w:rPr>
          <w:color w:val="FF0000"/>
        </w:rPr>
        <w:t>XXX</w:t>
      </w:r>
      <w:r w:rsidRPr="00DD2A6A">
        <w:t xml:space="preserve">), состоявшихся </w:t>
      </w:r>
      <w:r w:rsidRPr="00DD2A6A">
        <w:rPr>
          <w:color w:val="FF0000"/>
        </w:rPr>
        <w:t xml:space="preserve">дата </w:t>
      </w:r>
      <w:r w:rsidRPr="00DD2A6A">
        <w:t xml:space="preserve">и </w:t>
      </w:r>
      <w:r w:rsidRPr="00DD2A6A">
        <w:rPr>
          <w:color w:val="FF0000"/>
        </w:rPr>
        <w:t>дата</w:t>
      </w:r>
      <w:r w:rsidRPr="00DD2A6A">
        <w:t xml:space="preserve">. </w:t>
      </w:r>
      <w:r w:rsidRPr="00DD2A6A">
        <w:rPr>
          <w:b/>
          <w:highlight w:val="yellow"/>
        </w:rPr>
        <w:t>[[Следующее предложение не включается в заключительные замечания по докладам государств-участников, подготовленных на основе перечня вопросов, направляемого до представления докладов:]]</w:t>
      </w:r>
      <w:r w:rsidRPr="00DD2A6A">
        <w:t xml:space="preserve"> Подготовленный Комитетом перечень тем и вопросов содержится в документе CEDAW/ C/</w:t>
      </w:r>
      <w:r w:rsidRPr="00DD2A6A">
        <w:rPr>
          <w:color w:val="FF0000"/>
        </w:rPr>
        <w:t>XXX</w:t>
      </w:r>
      <w:r w:rsidRPr="00DD2A6A">
        <w:t>/Q/</w:t>
      </w:r>
      <w:r w:rsidRPr="00DD2A6A">
        <w:rPr>
          <w:color w:val="FF0000"/>
        </w:rPr>
        <w:t>Y</w:t>
      </w:r>
      <w:r w:rsidRPr="00DD2A6A">
        <w:t>, а ответы страны − в документе CEDAW/C/</w:t>
      </w:r>
      <w:r w:rsidRPr="00DD2A6A">
        <w:rPr>
          <w:color w:val="FF0000"/>
        </w:rPr>
        <w:t>XXX</w:t>
      </w:r>
      <w:r w:rsidRPr="00DD2A6A">
        <w:t>/Q/</w:t>
      </w:r>
      <w:r w:rsidRPr="00DD2A6A">
        <w:rPr>
          <w:color w:val="FF0000"/>
        </w:rPr>
        <w:t>Y</w:t>
      </w:r>
      <w:r w:rsidRPr="00DD2A6A">
        <w:t>/Add.1.</w:t>
      </w:r>
    </w:p>
    <w:p w:rsidR="00097E33" w:rsidRPr="00DD2A6A" w:rsidRDefault="002751FB" w:rsidP="00097E33">
      <w:pPr>
        <w:pStyle w:val="H1G"/>
      </w:pPr>
      <w:r>
        <w:tab/>
        <w:t>A.</w:t>
      </w:r>
      <w:r>
        <w:tab/>
        <w:t>Введение</w:t>
      </w:r>
    </w:p>
    <w:p w:rsidR="00097E33" w:rsidRPr="00DD2A6A" w:rsidRDefault="00097E33" w:rsidP="00097E33">
      <w:pPr>
        <w:pStyle w:val="SingleTxtG"/>
      </w:pPr>
      <w:r w:rsidRPr="00DD2A6A">
        <w:rPr>
          <w:color w:val="FF0000"/>
        </w:rPr>
        <w:t>[</w:t>
      </w:r>
      <w:r w:rsidRPr="00DD2A6A">
        <w:t>2.</w:t>
      </w:r>
      <w:r w:rsidRPr="00DD2A6A">
        <w:tab/>
      </w:r>
      <w:r w:rsidRPr="00DD2A6A">
        <w:rPr>
          <w:b/>
          <w:highlight w:val="yellow"/>
        </w:rPr>
        <w:t>[[Для заключительных замечаний по докладам государств-участников, подготовленных на основе перечня вопросов:]]</w:t>
      </w:r>
      <w:r w:rsidRPr="00DD2A6A">
        <w:rPr>
          <w:b/>
        </w:rPr>
        <w:t xml:space="preserve"> </w:t>
      </w:r>
      <w:r w:rsidRPr="00DD2A6A">
        <w:t xml:space="preserve">Комитет высоко оценивает представление государством-участником его </w:t>
      </w:r>
      <w:r w:rsidRPr="00DD2A6A">
        <w:rPr>
          <w:color w:val="FF0000"/>
        </w:rPr>
        <w:t>[первоначального] [объединенных номера периодических] [номер периодического]</w:t>
      </w:r>
      <w:r w:rsidRPr="00DD2A6A">
        <w:t xml:space="preserve"> доклада/</w:t>
      </w:r>
      <w:r w:rsidRPr="00DD2A6A">
        <w:rPr>
          <w:color w:val="FF0000"/>
        </w:rPr>
        <w:t>докладов</w:t>
      </w:r>
      <w:r w:rsidRPr="00DD2A6A">
        <w:t xml:space="preserve">. Он высоко оценивает также письменные ответы государства-участника на перечень тем и вопросов, сформулированных </w:t>
      </w:r>
      <w:proofErr w:type="spellStart"/>
      <w:r w:rsidRPr="00DD2A6A">
        <w:t>предсессионной</w:t>
      </w:r>
      <w:proofErr w:type="spellEnd"/>
      <w:r w:rsidRPr="00DD2A6A">
        <w:t xml:space="preserve"> рабочей группой, и приветствует устное выступление делегации и дополнительные пояснения, представленные в ответ на устные вопросы, заданные Комитетом в ходе диалога.</w:t>
      </w:r>
      <w:r w:rsidRPr="00DD2A6A">
        <w:rPr>
          <w:color w:val="FF0000"/>
        </w:rPr>
        <w:t>]</w:t>
      </w:r>
    </w:p>
    <w:p w:rsidR="00097E33" w:rsidRPr="00DD2A6A" w:rsidRDefault="00097E33" w:rsidP="00097E33">
      <w:pPr>
        <w:pStyle w:val="SingleTxtG"/>
      </w:pPr>
      <w:r w:rsidRPr="00DD2A6A">
        <w:rPr>
          <w:color w:val="FF0000"/>
        </w:rPr>
        <w:t>[</w:t>
      </w:r>
      <w:r w:rsidRPr="00DD2A6A">
        <w:t>2.</w:t>
      </w:r>
      <w:r w:rsidRPr="00DD2A6A">
        <w:tab/>
      </w:r>
      <w:r w:rsidRPr="00DD2A6A">
        <w:rPr>
          <w:b/>
          <w:highlight w:val="yellow"/>
        </w:rPr>
        <w:t>[[Для заключительных замечаний по докладам государств-участников, подготовленных на основе перечня вопросов, направляемого до представления доклада:]]</w:t>
      </w:r>
      <w:r w:rsidRPr="00DD2A6A">
        <w:t xml:space="preserve"> Комитет высоко оценивает представление государством-участником его </w:t>
      </w:r>
      <w:r w:rsidRPr="00DD2A6A">
        <w:rPr>
          <w:color w:val="FF0000"/>
        </w:rPr>
        <w:t>[первоначального] [объединенных номера периодических] [номер периодического]</w:t>
      </w:r>
      <w:r w:rsidRPr="00DD2A6A">
        <w:t xml:space="preserve"> доклада/</w:t>
      </w:r>
      <w:r w:rsidRPr="00DD2A6A">
        <w:rPr>
          <w:color w:val="FF0000"/>
        </w:rPr>
        <w:t>докладов</w:t>
      </w:r>
      <w:r w:rsidRPr="00DD2A6A">
        <w:t>, который/которые был/были подготовлен/подготовлены в ответ на перечень вопросов, направляемый до представления докладов (CEDAW/C/</w:t>
      </w:r>
      <w:r w:rsidRPr="00DD2A6A">
        <w:rPr>
          <w:color w:val="FF0000"/>
        </w:rPr>
        <w:t>XXX</w:t>
      </w:r>
      <w:r w:rsidRPr="00DD2A6A">
        <w:t>/QPR/</w:t>
      </w:r>
      <w:r w:rsidRPr="00DD2A6A">
        <w:rPr>
          <w:color w:val="FF0000"/>
        </w:rPr>
        <w:t>Y</w:t>
      </w:r>
      <w:r w:rsidRPr="00DD2A6A">
        <w:t>). Комитет приветствует устное выступление делегации и дополнительные пояснения, представленные в ответ на устные вопросы, заданные Комитетом в ходе диалога.</w:t>
      </w:r>
      <w:r w:rsidRPr="00DD2A6A">
        <w:rPr>
          <w:color w:val="FF0000"/>
        </w:rPr>
        <w:t>]</w:t>
      </w:r>
    </w:p>
    <w:p w:rsidR="00097E33" w:rsidRPr="00DD2A6A" w:rsidRDefault="00097E33" w:rsidP="00097E33">
      <w:pPr>
        <w:pStyle w:val="SingleTxtG"/>
      </w:pPr>
      <w:r w:rsidRPr="00DD2A6A">
        <w:t>3.</w:t>
      </w:r>
      <w:r w:rsidRPr="00DD2A6A">
        <w:tab/>
        <w:t xml:space="preserve">Комитет выражает признательность делегации высокого уровня государства-участника, которую возглавлял </w:t>
      </w:r>
      <w:r w:rsidRPr="00DD2A6A">
        <w:rPr>
          <w:color w:val="FF0000"/>
        </w:rPr>
        <w:t>титул главы делегации</w:t>
      </w:r>
      <w:r w:rsidRPr="00DD2A6A">
        <w:t xml:space="preserve">, </w:t>
      </w:r>
      <w:r w:rsidRPr="00DD2A6A">
        <w:rPr>
          <w:color w:val="FF0000"/>
        </w:rPr>
        <w:t>имя</w:t>
      </w:r>
      <w:r w:rsidRPr="00DD2A6A">
        <w:t xml:space="preserve">. В состав делегации также входили представители </w:t>
      </w:r>
      <w:r w:rsidRPr="00DD2A6A">
        <w:rPr>
          <w:color w:val="FF0000"/>
        </w:rPr>
        <w:t>...</w:t>
      </w:r>
      <w:r w:rsidRPr="00DD2A6A">
        <w:t xml:space="preserve"> и Постоянного представительства </w:t>
      </w:r>
      <w:r w:rsidRPr="00DD2A6A">
        <w:rPr>
          <w:color w:val="FF0000"/>
        </w:rPr>
        <w:t xml:space="preserve">страны </w:t>
      </w:r>
      <w:r w:rsidRPr="00DD2A6A">
        <w:t>при Отделении Организации Объединенных Наций и других международных организациях в Женеве.</w:t>
      </w:r>
    </w:p>
    <w:p w:rsidR="00097E33" w:rsidRPr="00DD2A6A" w:rsidRDefault="00097E33" w:rsidP="00097E33">
      <w:pPr>
        <w:pStyle w:val="H1G"/>
      </w:pPr>
      <w:r w:rsidRPr="00097E33">
        <w:lastRenderedPageBreak/>
        <w:tab/>
      </w:r>
      <w:r w:rsidR="002751FB">
        <w:t>B.</w:t>
      </w:r>
      <w:r w:rsidR="002751FB">
        <w:tab/>
        <w:t>Позитивные аспекты</w:t>
      </w:r>
    </w:p>
    <w:p w:rsidR="00097E33" w:rsidRPr="00DD2A6A" w:rsidRDefault="00097E33" w:rsidP="00097E33">
      <w:pPr>
        <w:pStyle w:val="H1G"/>
      </w:pPr>
      <w:r w:rsidRPr="00097E33">
        <w:tab/>
      </w:r>
      <w:r w:rsidR="002751FB">
        <w:t>C.</w:t>
      </w:r>
      <w:r w:rsidR="002751FB">
        <w:tab/>
      </w:r>
      <w:r w:rsidRPr="00DD2A6A">
        <w:t>Парламент</w:t>
      </w:r>
    </w:p>
    <w:p w:rsidR="00097E33" w:rsidRPr="00DD2A6A" w:rsidRDefault="00097E33" w:rsidP="00097E33">
      <w:pPr>
        <w:pStyle w:val="SingleTxtG"/>
        <w:rPr>
          <w:b/>
        </w:rPr>
      </w:pPr>
      <w:r w:rsidRPr="00DD2A6A">
        <w:t>7.</w:t>
      </w:r>
      <w:r w:rsidRPr="00DD2A6A">
        <w:tab/>
      </w:r>
      <w:r w:rsidRPr="00DD2A6A">
        <w:rPr>
          <w:b/>
        </w:rPr>
        <w:t>Комитет подчеркивает важнейшую роль законодательной власти в обеспечении полного осуществления Конвенции (см. заявление Комитета о его отношениях с парламентариями, принятое на сорок пятой сессии в 2010 году). Он предлагает парламенту согласно его мандату принять необходимые меры в отношении выполнения содержащихся в настоящих заключительных замечаний рекомендаций в срок до начала следующего отчетного периода в соответствии с Конвенцией.</w:t>
      </w:r>
    </w:p>
    <w:p w:rsidR="00097E33" w:rsidRPr="00DD2A6A" w:rsidRDefault="00097E33" w:rsidP="00097E33">
      <w:pPr>
        <w:pStyle w:val="H1G"/>
      </w:pPr>
      <w:r w:rsidRPr="00DD2A6A">
        <w:tab/>
        <w:t>D.</w:t>
      </w:r>
      <w:r w:rsidRPr="00DD2A6A">
        <w:tab/>
        <w:t xml:space="preserve">Основные вопросы, вызывающие обеспокоенность, и рекомендации </w:t>
      </w:r>
      <w:r w:rsidRPr="00DD2A6A">
        <w:rPr>
          <w:highlight w:val="yellow"/>
        </w:rPr>
        <w:t>[[Не все фигурирующие ниже стандартные формулировки содержатся во всех заключительных замечаниях.]]</w:t>
      </w:r>
      <w:r w:rsidRPr="00DD2A6A">
        <w:t xml:space="preserve"> </w:t>
      </w:r>
    </w:p>
    <w:p w:rsidR="00097E33" w:rsidRPr="00DD2A6A" w:rsidRDefault="00097E33" w:rsidP="00097E33">
      <w:pPr>
        <w:pStyle w:val="H23G"/>
      </w:pPr>
      <w:r w:rsidRPr="00DD2A6A">
        <w:tab/>
      </w:r>
      <w:r w:rsidRPr="00DD2A6A">
        <w:tab/>
        <w:t>Факультативный протокол к Конвенции и поправка к статье 20 (1) Конвенции</w:t>
      </w:r>
    </w:p>
    <w:p w:rsidR="00097E33" w:rsidRPr="00DD2A6A" w:rsidRDefault="00097E33" w:rsidP="00097E33">
      <w:pPr>
        <w:pStyle w:val="SingleTxtG"/>
        <w:rPr>
          <w:b/>
        </w:rPr>
      </w:pPr>
      <w:r w:rsidRPr="00DD2A6A">
        <w:t>42.</w:t>
      </w:r>
      <w:r w:rsidRPr="00DD2A6A">
        <w:tab/>
      </w:r>
      <w:r w:rsidRPr="00DD2A6A">
        <w:rPr>
          <w:b/>
        </w:rPr>
        <w:t>Комитет рекомендует государству-участнику ратифицировать Факультативный протокол к Конвенции и как можно скорее принять поправку к статье 20 (1) Конвенции о продолжительности заседаний Комитета.</w:t>
      </w:r>
    </w:p>
    <w:p w:rsidR="00097E33" w:rsidRPr="00DD2A6A" w:rsidRDefault="00097E33" w:rsidP="00097E33">
      <w:pPr>
        <w:pStyle w:val="H23G"/>
      </w:pPr>
      <w:r w:rsidRPr="00DD2A6A">
        <w:tab/>
      </w:r>
      <w:r w:rsidRPr="00DD2A6A">
        <w:tab/>
        <w:t xml:space="preserve">Пекинская декларация и Платформа действий </w:t>
      </w:r>
    </w:p>
    <w:p w:rsidR="00097E33" w:rsidRPr="00DD2A6A" w:rsidRDefault="00097E33" w:rsidP="00097E33">
      <w:pPr>
        <w:pStyle w:val="SingleTxtG"/>
        <w:rPr>
          <w:b/>
        </w:rPr>
      </w:pPr>
      <w:r w:rsidRPr="00DD2A6A">
        <w:t>43.</w:t>
      </w:r>
      <w:r w:rsidRPr="00DD2A6A">
        <w:tab/>
      </w:r>
      <w:r w:rsidRPr="00DD2A6A">
        <w:rPr>
          <w:b/>
        </w:rPr>
        <w:t>Комитет призывает государство-участник использовать Пекинскую декларацию и Платформу действий в своей деятельности по осуществлению положений Конвенции.</w:t>
      </w:r>
    </w:p>
    <w:p w:rsidR="00097E33" w:rsidRPr="00DD2A6A" w:rsidRDefault="00097E33" w:rsidP="00097E33">
      <w:pPr>
        <w:pStyle w:val="H23G"/>
      </w:pPr>
      <w:r w:rsidRPr="00DD2A6A">
        <w:tab/>
      </w:r>
      <w:r w:rsidRPr="00DD2A6A">
        <w:tab/>
        <w:t xml:space="preserve">Повестка дня в области устойчивого развития на период до 2030 года </w:t>
      </w:r>
    </w:p>
    <w:p w:rsidR="00097E33" w:rsidRPr="00DD2A6A" w:rsidRDefault="00097E33" w:rsidP="00097E33">
      <w:pPr>
        <w:pStyle w:val="SingleTxtG"/>
        <w:rPr>
          <w:b/>
        </w:rPr>
      </w:pPr>
      <w:r w:rsidRPr="00DD2A6A">
        <w:t>44.</w:t>
      </w:r>
      <w:r w:rsidRPr="00DD2A6A">
        <w:tab/>
      </w:r>
      <w:r w:rsidRPr="00DD2A6A">
        <w:rPr>
          <w:b/>
        </w:rPr>
        <w:t>Комитет призывает к обеспечению реального гендерного равенства в соответствии с положениями Конвенции на протяжении всего процесса осуществления Повестки дня в области устойчивого развития на период до 2030 года.</w:t>
      </w:r>
    </w:p>
    <w:p w:rsidR="00097E33" w:rsidRPr="00DD2A6A" w:rsidRDefault="00097E33" w:rsidP="00097E33">
      <w:pPr>
        <w:pStyle w:val="H23G"/>
      </w:pPr>
      <w:r w:rsidRPr="00DD2A6A">
        <w:tab/>
      </w:r>
      <w:r w:rsidRPr="00DD2A6A">
        <w:tab/>
        <w:t>Распространение информации</w:t>
      </w:r>
    </w:p>
    <w:p w:rsidR="00097E33" w:rsidRPr="00DD2A6A" w:rsidRDefault="00097E33" w:rsidP="00097E33">
      <w:pPr>
        <w:pStyle w:val="SingleTxtG"/>
        <w:rPr>
          <w:b/>
        </w:rPr>
      </w:pPr>
      <w:r w:rsidRPr="00DD2A6A">
        <w:t>45.</w:t>
      </w:r>
      <w:r w:rsidRPr="00DD2A6A">
        <w:tab/>
      </w:r>
      <w:r w:rsidRPr="00DD2A6A">
        <w:rPr>
          <w:b/>
        </w:rPr>
        <w:t xml:space="preserve">Комитет просит государство-участник обеспечить своевременное направление настоящих заключительных замечаний на </w:t>
      </w:r>
      <w:r w:rsidRPr="00DD2A6A">
        <w:rPr>
          <w:b/>
          <w:color w:val="FF0000"/>
        </w:rPr>
        <w:t>официальном языке/официальных языках</w:t>
      </w:r>
      <w:r w:rsidRPr="00DD2A6A">
        <w:rPr>
          <w:b/>
        </w:rPr>
        <w:t xml:space="preserve"> государства-участника соответствующим государственным учреждениям на всех уровнях (национальном, областном и местном), в частности правительству, министерствам, парламенту и судебным органам, в целях обеспечения полного выполнения содержащихся в них рекомендаций.</w:t>
      </w:r>
    </w:p>
    <w:p w:rsidR="00097E33" w:rsidRPr="00DD2A6A" w:rsidRDefault="00097E33" w:rsidP="00097E33">
      <w:pPr>
        <w:pStyle w:val="H23G"/>
      </w:pPr>
      <w:r w:rsidRPr="00DD2A6A">
        <w:tab/>
      </w:r>
      <w:r w:rsidRPr="00DD2A6A">
        <w:tab/>
        <w:t>Техническая помощь</w:t>
      </w:r>
    </w:p>
    <w:p w:rsidR="00097E33" w:rsidRPr="00DD2A6A" w:rsidRDefault="00097E33" w:rsidP="00097E33">
      <w:pPr>
        <w:pStyle w:val="SingleTxtG"/>
        <w:rPr>
          <w:b/>
        </w:rPr>
      </w:pPr>
      <w:r w:rsidRPr="00DD2A6A">
        <w:t>46.</w:t>
      </w:r>
      <w:r w:rsidRPr="00DD2A6A">
        <w:tab/>
      </w:r>
      <w:r w:rsidRPr="00DD2A6A">
        <w:rPr>
          <w:b/>
        </w:rPr>
        <w:t>Комитет рекомендует государству-участнику увязывать осуществление Конвенции с его усилиями в области развития и пользоваться в этой связи региональной и международной технической помощью.</w:t>
      </w:r>
    </w:p>
    <w:p w:rsidR="00097E33" w:rsidRPr="00DD2A6A" w:rsidRDefault="00097E33" w:rsidP="00097E33">
      <w:pPr>
        <w:pStyle w:val="H23G"/>
      </w:pPr>
      <w:r w:rsidRPr="00DD2A6A">
        <w:tab/>
      </w:r>
      <w:r w:rsidRPr="00DD2A6A">
        <w:tab/>
        <w:t>Ратификация других договоров</w:t>
      </w:r>
    </w:p>
    <w:p w:rsidR="00097E33" w:rsidRPr="00DD2A6A" w:rsidRDefault="00097E33" w:rsidP="00097E33">
      <w:pPr>
        <w:pStyle w:val="SingleTxtG"/>
      </w:pPr>
      <w:r w:rsidRPr="00DD2A6A">
        <w:t>47.</w:t>
      </w:r>
      <w:r w:rsidRPr="00DD2A6A">
        <w:tab/>
      </w:r>
      <w:r w:rsidRPr="00DD2A6A">
        <w:rPr>
          <w:b/>
        </w:rPr>
        <w:t>Комитет отмечает, что присоединение государства-участника к девяти основным международным документам по правам человека будет способствовать более активному осуществлению женщинами их прав человека и основных свобод во всех сферах жизни</w:t>
      </w:r>
      <w:r w:rsidRPr="00DD2A6A">
        <w:rPr>
          <w:sz w:val="18"/>
          <w:szCs w:val="18"/>
          <w:vertAlign w:val="superscript"/>
        </w:rPr>
        <w:footnoteReference w:id="2"/>
      </w:r>
      <w:r w:rsidRPr="00DD2A6A">
        <w:rPr>
          <w:b/>
        </w:rPr>
        <w:t xml:space="preserve">. В этой связи Комитет призывает </w:t>
      </w:r>
      <w:r w:rsidRPr="00DD2A6A">
        <w:rPr>
          <w:b/>
        </w:rPr>
        <w:lastRenderedPageBreak/>
        <w:t xml:space="preserve">государство-участник ратифицировать </w:t>
      </w:r>
      <w:r w:rsidRPr="00DD2A6A">
        <w:rPr>
          <w:b/>
          <w:color w:val="FF0000"/>
        </w:rPr>
        <w:t>названия договоров [, к которым оно еще не присоединилось]</w:t>
      </w:r>
      <w:r w:rsidRPr="00DD2A6A">
        <w:rPr>
          <w:b/>
        </w:rPr>
        <w:t>.</w:t>
      </w:r>
    </w:p>
    <w:p w:rsidR="00097E33" w:rsidRPr="00DD2A6A" w:rsidRDefault="00097E33" w:rsidP="00097E33">
      <w:pPr>
        <w:pStyle w:val="H23G"/>
      </w:pPr>
      <w:r w:rsidRPr="00DD2A6A">
        <w:tab/>
      </w:r>
      <w:r w:rsidRPr="00DD2A6A">
        <w:tab/>
        <w:t>Последующие меры в связи с заключительными замечаниями</w:t>
      </w:r>
    </w:p>
    <w:p w:rsidR="00097E33" w:rsidRPr="00DD2A6A" w:rsidRDefault="00097E33" w:rsidP="00097E33">
      <w:pPr>
        <w:pStyle w:val="SingleTxtG"/>
      </w:pPr>
      <w:r w:rsidRPr="00DD2A6A">
        <w:t>48.</w:t>
      </w:r>
      <w:r w:rsidRPr="00DD2A6A">
        <w:tab/>
      </w:r>
      <w:r w:rsidRPr="00DD2A6A">
        <w:rPr>
          <w:b/>
        </w:rPr>
        <w:t xml:space="preserve">Комитет просит государство-участник представить в течение </w:t>
      </w:r>
      <w:r w:rsidRPr="00DD2A6A">
        <w:rPr>
          <w:b/>
          <w:color w:val="FF0000"/>
        </w:rPr>
        <w:t>период времени</w:t>
      </w:r>
      <w:r w:rsidRPr="00DD2A6A">
        <w:rPr>
          <w:b/>
        </w:rPr>
        <w:t xml:space="preserve"> в письменном виде информацию о мерах, принятых для осуществления рекомендаций, содержащихся в пунктах </w:t>
      </w:r>
      <w:r w:rsidRPr="00DD2A6A">
        <w:rPr>
          <w:b/>
          <w:color w:val="FF0000"/>
        </w:rPr>
        <w:t xml:space="preserve">XX </w:t>
      </w:r>
      <w:r w:rsidRPr="00DD2A6A">
        <w:rPr>
          <w:b/>
        </w:rPr>
        <w:t xml:space="preserve">и </w:t>
      </w:r>
      <w:r w:rsidRPr="00DD2A6A">
        <w:rPr>
          <w:b/>
          <w:color w:val="FF0000"/>
        </w:rPr>
        <w:t xml:space="preserve">XX </w:t>
      </w:r>
      <w:r w:rsidRPr="00DD2A6A">
        <w:rPr>
          <w:b/>
        </w:rPr>
        <w:t>выше.</w:t>
      </w:r>
    </w:p>
    <w:p w:rsidR="00097E33" w:rsidRPr="00DD2A6A" w:rsidRDefault="00097E33" w:rsidP="00097E33">
      <w:pPr>
        <w:pStyle w:val="H23G"/>
      </w:pPr>
      <w:r w:rsidRPr="00DD2A6A">
        <w:tab/>
      </w:r>
      <w:r w:rsidRPr="00DD2A6A">
        <w:tab/>
        <w:t xml:space="preserve">Подготовка следующего периодического доклада </w:t>
      </w:r>
    </w:p>
    <w:p w:rsidR="00097E33" w:rsidRPr="00DD2A6A" w:rsidRDefault="00097E33" w:rsidP="00097E33">
      <w:pPr>
        <w:pStyle w:val="SingleTxtG"/>
        <w:rPr>
          <w:b/>
        </w:rPr>
      </w:pPr>
      <w:r w:rsidRPr="00DD2A6A">
        <w:t>49.</w:t>
      </w:r>
      <w:r w:rsidRPr="00DD2A6A">
        <w:tab/>
      </w:r>
      <w:r w:rsidRPr="00DD2A6A">
        <w:rPr>
          <w:b/>
        </w:rPr>
        <w:t xml:space="preserve">Комитет предлагает государству-участнику представить свой/свои </w:t>
      </w:r>
      <w:r w:rsidRPr="00DD2A6A">
        <w:rPr>
          <w:b/>
          <w:color w:val="FF0000"/>
        </w:rPr>
        <w:t>[объединенные номера периодические] [номер периодический]</w:t>
      </w:r>
      <w:r w:rsidRPr="00DD2A6A">
        <w:rPr>
          <w:b/>
        </w:rPr>
        <w:t xml:space="preserve"> доклад/</w:t>
      </w:r>
      <w:r w:rsidRPr="00DD2A6A">
        <w:rPr>
          <w:b/>
          <w:color w:val="FF0000"/>
        </w:rPr>
        <w:t xml:space="preserve">доклады </w:t>
      </w:r>
      <w:r w:rsidRPr="00DD2A6A">
        <w:rPr>
          <w:b/>
        </w:rPr>
        <w:t xml:space="preserve">в </w:t>
      </w:r>
      <w:r w:rsidRPr="00DD2A6A">
        <w:rPr>
          <w:b/>
          <w:color w:val="FF0000"/>
        </w:rPr>
        <w:t>дата</w:t>
      </w:r>
      <w:r w:rsidRPr="00DD2A6A">
        <w:rPr>
          <w:b/>
        </w:rPr>
        <w:t>. В случае несоблюдения срока в докладе должен охватываться весь период вплоть до даты его представления.</w:t>
      </w:r>
    </w:p>
    <w:p w:rsidR="00097E33" w:rsidRPr="00DD2A6A" w:rsidRDefault="00097E33" w:rsidP="00097E33">
      <w:pPr>
        <w:pStyle w:val="SingleTxtG"/>
      </w:pPr>
      <w:r w:rsidRPr="00DD2A6A">
        <w:t>50.</w:t>
      </w:r>
      <w:r w:rsidRPr="00DD2A6A">
        <w:tab/>
      </w:r>
      <w:r w:rsidRPr="00DD2A6A">
        <w:rPr>
          <w:b/>
        </w:rPr>
        <w:t>Комитет просит государство-участник следовать согласованным руководящим принципам представления докладов согласно международным договорам о правах человека, включая руководящие принципы подготовки общего базового документа и документов по конкретным договорам (см. HRI/GEN/2/Rev.6, главу I).</w:t>
      </w:r>
    </w:p>
    <w:p w:rsidR="002206E3" w:rsidRPr="000C52BC" w:rsidRDefault="000C52BC" w:rsidP="000C52BC">
      <w:pPr>
        <w:pStyle w:val="SingleTxtG"/>
        <w:spacing w:before="240" w:after="0"/>
        <w:jc w:val="center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2206E3" w:rsidRPr="000C52BC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0C52BC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312A07">
      <w:fldChar w:fldCharType="begin"/>
    </w:r>
    <w:r w:rsidR="00312A07">
      <w:instrText xml:space="preserve"> DOCPROPERTY  gdocf  \* MERGEFORMAT </w:instrText>
    </w:r>
    <w:r w:rsidR="00312A07">
      <w:fldChar w:fldCharType="separate"/>
    </w:r>
    <w:proofErr w:type="spellStart"/>
    <w:r w:rsidR="00F520C6">
      <w:t>gdocf</w:t>
    </w:r>
    <w:proofErr w:type="spellEnd"/>
    <w:r w:rsidR="00312A0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312A07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0C52BC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097E33" w:rsidRPr="00930CAF" w:rsidRDefault="00097E33" w:rsidP="00097E33">
      <w:pPr>
        <w:pStyle w:val="Notedebasdepage"/>
        <w:rPr>
          <w:lang w:val="ru-RU"/>
        </w:rPr>
      </w:pPr>
      <w:r>
        <w:rPr>
          <w:lang w:val="ru-RU"/>
        </w:rPr>
        <w:tab/>
      </w:r>
      <w:r w:rsidRPr="00312A07">
        <w:rPr>
          <w:sz w:val="20"/>
          <w:lang w:val="ru-RU"/>
        </w:rPr>
        <w:t>*</w:t>
      </w:r>
      <w:r>
        <w:rPr>
          <w:lang w:val="ru-RU"/>
        </w:rPr>
        <w:tab/>
        <w:t xml:space="preserve">Приняты Комитетом на его </w:t>
      </w:r>
      <w:r w:rsidR="007A34FF" w:rsidRPr="007A34FF">
        <w:rPr>
          <w:color w:val="FF0000"/>
          <w:lang w:val="fr-CH"/>
        </w:rPr>
        <w:t>[</w:t>
      </w:r>
      <w:r w:rsidRPr="00944267">
        <w:rPr>
          <w:color w:val="FF0000"/>
          <w:lang w:val="ru-RU"/>
        </w:rPr>
        <w:t>номер</w:t>
      </w:r>
      <w:r w:rsidR="007A34FF">
        <w:rPr>
          <w:color w:val="FF0000"/>
          <w:lang w:val="fr-CH"/>
        </w:rPr>
        <w:t>]</w:t>
      </w:r>
      <w:r w:rsidRPr="00944267">
        <w:rPr>
          <w:color w:val="FF0000"/>
          <w:lang w:val="ru-RU"/>
        </w:rPr>
        <w:t xml:space="preserve"> </w:t>
      </w:r>
      <w:r>
        <w:rPr>
          <w:lang w:val="ru-RU"/>
        </w:rPr>
        <w:t>сессии (</w:t>
      </w:r>
      <w:r w:rsidRPr="00944267">
        <w:rPr>
          <w:color w:val="FF0000"/>
          <w:lang w:val="ru-RU"/>
        </w:rPr>
        <w:t>даты</w:t>
      </w:r>
      <w:r>
        <w:rPr>
          <w:lang w:val="ru-RU"/>
        </w:rPr>
        <w:t>).</w:t>
      </w:r>
    </w:p>
  </w:footnote>
  <w:footnote w:id="2">
    <w:p w:rsidR="00097E33" w:rsidRPr="008035C8" w:rsidRDefault="00097E33" w:rsidP="00097E33">
      <w:pPr>
        <w:pStyle w:val="Notedebasdepage"/>
        <w:rPr>
          <w:rFonts w:eastAsia="SimSun"/>
          <w:lang w:val="ru-RU" w:eastAsia="zh-CN"/>
        </w:rPr>
      </w:pPr>
      <w:r w:rsidRPr="00097E33">
        <w:rPr>
          <w:lang w:val="ru-RU"/>
        </w:rPr>
        <w:tab/>
      </w:r>
      <w:r>
        <w:rPr>
          <w:rStyle w:val="Appelnotedebasdep"/>
          <w:lang w:val="ru-RU"/>
        </w:rPr>
        <w:footnoteRef/>
      </w:r>
      <w:r>
        <w:rPr>
          <w:lang w:val="ru-RU"/>
        </w:rPr>
        <w:tab/>
      </w:r>
      <w:r w:rsidRPr="008035C8">
        <w:rPr>
          <w:rFonts w:eastAsia="SimSun"/>
          <w:lang w:val="ru-RU" w:eastAsia="zh-CN"/>
        </w:rPr>
        <w:t>Международный пакт об экономических, социальных и культурных правах; Международный пакт о гражданских и политических правах; Международная конвенция о ликвидации всех форм расовой дискриминации; Конвенция о ликвидации всех форм дискриминации в отношении женщин; Конвенция против пыток и других жестоких, бесчеловечных или унижающих достоинство видов обращения и наказания; Конвенция о правах ребенка; Международная конвенция о защите прав всех трудящихся-мигрантов и членов их семей; Международная конвенция для защиты всех лиц от насильственных исчезновений; и Конвенция о правах инвалидов.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312A07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312A07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97E33"/>
    <w:rsid w:val="000B57E7"/>
    <w:rsid w:val="000B6373"/>
    <w:rsid w:val="000C1C29"/>
    <w:rsid w:val="000C52BC"/>
    <w:rsid w:val="000F09DF"/>
    <w:rsid w:val="000F61B2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751FB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2A07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2E49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6025ED"/>
    <w:rsid w:val="00607466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2895"/>
    <w:rsid w:val="0071422F"/>
    <w:rsid w:val="0071762F"/>
    <w:rsid w:val="00755ADB"/>
    <w:rsid w:val="00757357"/>
    <w:rsid w:val="0079112D"/>
    <w:rsid w:val="007A34FF"/>
    <w:rsid w:val="00825F8D"/>
    <w:rsid w:val="00834B71"/>
    <w:rsid w:val="0086445C"/>
    <w:rsid w:val="00894693"/>
    <w:rsid w:val="008A08D7"/>
    <w:rsid w:val="008B18A5"/>
    <w:rsid w:val="008B6909"/>
    <w:rsid w:val="008D65D8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66C5E"/>
    <w:rsid w:val="00A84021"/>
    <w:rsid w:val="00A84D35"/>
    <w:rsid w:val="00A90C18"/>
    <w:rsid w:val="00A917B3"/>
    <w:rsid w:val="00AA6DBD"/>
    <w:rsid w:val="00AB4B51"/>
    <w:rsid w:val="00B01856"/>
    <w:rsid w:val="00B10CC7"/>
    <w:rsid w:val="00B36329"/>
    <w:rsid w:val="00B44E3D"/>
    <w:rsid w:val="00B539E7"/>
    <w:rsid w:val="00B62458"/>
    <w:rsid w:val="00B82B71"/>
    <w:rsid w:val="00BC18B2"/>
    <w:rsid w:val="00BD33E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2FB77469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01856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B01856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B01856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B01856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B01856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B0185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B01856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B01856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B01856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B01856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B0185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B01856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B01856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B01856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B01856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B01856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B01856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B01856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B01856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B01856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B01856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B01856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B01856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B01856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B01856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B01856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B01856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B01856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B01856"/>
  </w:style>
  <w:style w:type="character" w:customStyle="1" w:styleId="NotedefinCar">
    <w:name w:val="Note de fin Car"/>
    <w:aliases w:val="2_G Car"/>
    <w:basedOn w:val="Policepardfaut"/>
    <w:link w:val="Notedefin"/>
    <w:rsid w:val="00B01856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B01856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B01856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B01856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7F638-6C3D-4578-91B4-E085B0513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654</Words>
  <Characters>5304</Characters>
  <Application>Microsoft Office Word</Application>
  <DocSecurity>0</DocSecurity>
  <Lines>44</Lines>
  <Paragraphs>11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8</cp:revision>
  <cp:lastPrinted>2017-07-04T10:34:00Z</cp:lastPrinted>
  <dcterms:created xsi:type="dcterms:W3CDTF">2018-05-16T10:00:00Z</dcterms:created>
  <dcterms:modified xsi:type="dcterms:W3CDTF">2018-06-20T09:46:00Z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