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4908D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</w:t>
            </w:r>
            <w:r w:rsidR="004908D8">
              <w:rPr>
                <w:sz w:val="40"/>
                <w:szCs w:val="20"/>
              </w:rPr>
              <w:t>R</w:t>
            </w:r>
            <w:r w:rsidRPr="004559FF">
              <w:rPr>
                <w:sz w:val="40"/>
                <w:szCs w:val="20"/>
              </w:rPr>
              <w:t>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4908D8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4908D8" w:rsidRPr="00DB7679" w:rsidRDefault="004058B8" w:rsidP="004908D8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4908D8" w:rsidRPr="00523BAE" w:rsidRDefault="004908D8" w:rsidP="004908D8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  <w:rtl/>
              </w:rPr>
            </w:pP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الاتفاقي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الدولي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ة للقض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اء عل</w:t>
            </w:r>
            <w:r>
              <w:rPr>
                <w:rFonts w:hint="cs"/>
                <w:b/>
                <w:bCs/>
                <w:sz w:val="56"/>
                <w:szCs w:val="56"/>
                <w:rtl/>
              </w:rPr>
              <w:t>ـ</w:t>
            </w:r>
            <w:r w:rsidRPr="00523BAE">
              <w:rPr>
                <w:rFonts w:hint="cs"/>
                <w:b/>
                <w:bCs/>
                <w:sz w:val="56"/>
                <w:szCs w:val="56"/>
                <w:rtl/>
              </w:rPr>
              <w:t>ى جميع أشكال التمييز العنصري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4908D8" w:rsidRPr="000C196E" w:rsidRDefault="004908D8" w:rsidP="004908D8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4908D8" w:rsidRPr="000C196E" w:rsidRDefault="004908D8" w:rsidP="004908D8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4908D8" w:rsidRPr="000C196E" w:rsidRDefault="004908D8" w:rsidP="004908D8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4908D8" w:rsidRPr="00024732" w:rsidRDefault="004908D8" w:rsidP="004908D8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  <w:bookmarkStart w:id="0" w:name="_GoBack"/>
            <w:bookmarkEnd w:id="0"/>
          </w:p>
        </w:tc>
      </w:tr>
    </w:tbl>
    <w:p w:rsidR="004058B8" w:rsidRPr="00FC0EEC" w:rsidRDefault="004058B8" w:rsidP="004058B8">
      <w:pPr>
        <w:pStyle w:val="SingleTxtGA"/>
        <w:spacing w:before="120" w:after="0"/>
        <w:ind w:left="0" w:right="4252"/>
        <w:jc w:val="left"/>
        <w:rPr>
          <w:b/>
          <w:bCs/>
          <w:sz w:val="26"/>
          <w:szCs w:val="36"/>
          <w:rtl/>
        </w:rPr>
      </w:pPr>
      <w:r w:rsidRPr="00FC0EEC">
        <w:rPr>
          <w:b/>
          <w:bCs/>
          <w:sz w:val="26"/>
          <w:szCs w:val="36"/>
          <w:rtl/>
        </w:rPr>
        <w:t>لجنة ال</w:t>
      </w:r>
      <w:r w:rsidRPr="00FC0EEC">
        <w:rPr>
          <w:rFonts w:hint="cs"/>
          <w:b/>
          <w:bCs/>
          <w:sz w:val="26"/>
          <w:szCs w:val="36"/>
          <w:rtl/>
        </w:rPr>
        <w:t>قضاء على التمييز العنصري</w:t>
      </w:r>
    </w:p>
    <w:p w:rsidR="004058B8" w:rsidRPr="00FC0EEC" w:rsidRDefault="004058B8" w:rsidP="004058B8">
      <w:pPr>
        <w:pStyle w:val="SingleTxtGA"/>
        <w:spacing w:after="0"/>
        <w:ind w:left="0" w:right="4252"/>
        <w:jc w:val="left"/>
        <w:rPr>
          <w:b/>
          <w:bCs/>
          <w:rtl/>
        </w:rPr>
      </w:pPr>
      <w:r w:rsidRPr="00FC0EEC">
        <w:rPr>
          <w:rFonts w:hint="cs"/>
          <w:b/>
          <w:bCs/>
          <w:rtl/>
        </w:rPr>
        <w:t xml:space="preserve">الدورة </w:t>
      </w:r>
      <w:r w:rsidRPr="00FC0EEC">
        <w:rPr>
          <w:rFonts w:hint="cs"/>
          <w:b/>
          <w:bCs/>
          <w:color w:val="FF0000"/>
          <w:rtl/>
        </w:rPr>
        <w:t>ال</w:t>
      </w:r>
      <w:r>
        <w:rPr>
          <w:rFonts w:hint="cs"/>
          <w:b/>
          <w:bCs/>
          <w:color w:val="FF0000"/>
          <w:rtl/>
        </w:rPr>
        <w:t>رقم </w:t>
      </w:r>
      <w:r w:rsidRPr="00FC0EEC">
        <w:rPr>
          <w:rFonts w:hint="cs"/>
          <w:b/>
          <w:bCs/>
          <w:highlight w:val="yellow"/>
          <w:rtl/>
        </w:rPr>
        <w:t>[[تُدرج معلومات إن وُجدت]]</w:t>
      </w:r>
    </w:p>
    <w:p w:rsidR="004058B8" w:rsidRPr="00FC0EEC" w:rsidRDefault="004058B8" w:rsidP="004058B8">
      <w:pPr>
        <w:pStyle w:val="SingleTxtGA"/>
        <w:spacing w:after="0"/>
        <w:ind w:left="0" w:right="4252"/>
        <w:jc w:val="left"/>
        <w:rPr>
          <w:color w:val="FF0000"/>
          <w:rtl/>
        </w:rPr>
      </w:pPr>
      <w:r w:rsidRPr="00FC0EEC">
        <w:rPr>
          <w:rFonts w:hint="cs"/>
          <w:color w:val="FF0000"/>
          <w:rtl/>
        </w:rPr>
        <w:t>التواريخ</w:t>
      </w:r>
    </w:p>
    <w:p w:rsidR="004058B8" w:rsidRPr="00FC0EEC" w:rsidRDefault="004058B8" w:rsidP="004058B8">
      <w:pPr>
        <w:pStyle w:val="SingleTxtGA"/>
        <w:spacing w:after="0"/>
        <w:ind w:left="0" w:right="4252"/>
        <w:jc w:val="left"/>
        <w:rPr>
          <w:rtl/>
        </w:rPr>
      </w:pPr>
      <w:r w:rsidRPr="00FC0EEC">
        <w:rPr>
          <w:rFonts w:hint="cs"/>
          <w:rtl/>
        </w:rPr>
        <w:t xml:space="preserve">البند </w:t>
      </w:r>
      <w:r w:rsidRPr="00FC0EEC">
        <w:rPr>
          <w:color w:val="FF0000"/>
        </w:rPr>
        <w:t>X</w:t>
      </w:r>
      <w:r w:rsidRPr="00FC0EEC">
        <w:rPr>
          <w:rFonts w:hint="cs"/>
          <w:rtl/>
        </w:rPr>
        <w:t xml:space="preserve"> من جدول الأعمال المؤقت</w:t>
      </w:r>
    </w:p>
    <w:p w:rsidR="004058B8" w:rsidRPr="00FC0EEC" w:rsidRDefault="004058B8" w:rsidP="004058B8">
      <w:pPr>
        <w:pStyle w:val="SingleTxtGA"/>
        <w:spacing w:after="0"/>
        <w:ind w:left="0" w:right="4252"/>
        <w:jc w:val="left"/>
        <w:rPr>
          <w:b/>
          <w:bCs/>
          <w:rtl/>
        </w:rPr>
      </w:pPr>
      <w:r w:rsidRPr="00FC0EEC">
        <w:rPr>
          <w:rFonts w:hint="cs"/>
          <w:b/>
          <w:bCs/>
          <w:rtl/>
        </w:rPr>
        <w:t>النظر في التقارير والتعليقات والمعلومات المقدمة من الدول الأطراف بموجب المادة 9 من الاتفاقية</w:t>
      </w:r>
    </w:p>
    <w:p w:rsidR="004058B8" w:rsidRPr="00BB0D0C" w:rsidRDefault="004058B8" w:rsidP="004058B8">
      <w:pPr>
        <w:pStyle w:val="HChGA"/>
        <w:rPr>
          <w:rtl/>
        </w:rPr>
      </w:pPr>
      <w:r w:rsidRPr="00FC0EEC">
        <w:rPr>
          <w:rFonts w:hint="cs"/>
          <w:rtl/>
        </w:rPr>
        <w:tab/>
      </w:r>
      <w:r>
        <w:rPr>
          <w:rFonts w:hint="cs"/>
          <w:rtl/>
        </w:rPr>
        <w:tab/>
        <w:t xml:space="preserve">قائمة المواضيع المتصلة بالتقرير </w:t>
      </w:r>
      <w:r w:rsidRPr="00FC0EEC">
        <w:rPr>
          <w:rFonts w:hint="cs"/>
          <w:color w:val="FF0000"/>
          <w:rtl/>
        </w:rPr>
        <w:t xml:space="preserve">[الأولي] [الدوري [الرقم]] </w:t>
      </w:r>
      <w:r w:rsidRPr="00FC0EEC">
        <w:rPr>
          <w:color w:val="FF0000"/>
          <w:rtl/>
          <w:lang w:eastAsia="zh-TW"/>
        </w:rPr>
        <w:t xml:space="preserve">[الجامع للتقارير الدورية [الرقم]] </w:t>
      </w:r>
      <w:r w:rsidRPr="00FC0EEC">
        <w:rPr>
          <w:rFonts w:hint="cs"/>
          <w:rtl/>
          <w:lang w:eastAsia="zh-TW"/>
        </w:rPr>
        <w:t>ل‍</w:t>
      </w:r>
      <w:r>
        <w:rPr>
          <w:rFonts w:hint="cs"/>
          <w:color w:val="FF0000"/>
          <w:rtl/>
          <w:lang w:eastAsia="zh-TW"/>
        </w:rPr>
        <w:t xml:space="preserve"> </w:t>
      </w:r>
      <w:r w:rsidRPr="00FC0EEC">
        <w:rPr>
          <w:color w:val="FF0000"/>
          <w:rtl/>
          <w:lang w:eastAsia="zh-TW"/>
        </w:rPr>
        <w:t>[البلد]</w:t>
      </w:r>
    </w:p>
    <w:p w:rsidR="004058B8" w:rsidRDefault="004058B8" w:rsidP="004058B8">
      <w:pPr>
        <w:pStyle w:val="H1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مذكرة من المقرر القُطري</w:t>
      </w:r>
    </w:p>
    <w:p w:rsidR="004058B8" w:rsidRDefault="004058B8" w:rsidP="004058B8">
      <w:pPr>
        <w:pStyle w:val="SingleTxtGA"/>
        <w:rPr>
          <w:rtl/>
        </w:rPr>
      </w:pPr>
      <w:r>
        <w:rPr>
          <w:rFonts w:hint="cs"/>
          <w:rtl/>
        </w:rPr>
        <w:t>1-</w:t>
      </w:r>
      <w:r>
        <w:rPr>
          <w:rFonts w:hint="cs"/>
          <w:rtl/>
        </w:rPr>
        <w:tab/>
      </w:r>
      <w:r w:rsidRPr="006C59BF">
        <w:rPr>
          <w:rFonts w:hint="cs"/>
          <w:rtl/>
        </w:rPr>
        <w:t>قررت لجنة القضاء على التمييز العنصري في دورتها السادسة والسبعين (</w:t>
      </w:r>
      <w:r>
        <w:rPr>
          <w:rFonts w:hint="cs"/>
          <w:rtl/>
        </w:rPr>
        <w:t xml:space="preserve">انظر </w:t>
      </w:r>
      <w:r w:rsidRPr="006C59BF">
        <w:rPr>
          <w:rFonts w:hint="cs"/>
          <w:rtl/>
        </w:rPr>
        <w:t xml:space="preserve">الوثيقة </w:t>
      </w:r>
      <w:r w:rsidRPr="006C59BF">
        <w:rPr>
          <w:lang w:val="en-GB"/>
        </w:rPr>
        <w:t>A/65/18</w:t>
      </w:r>
      <w:r w:rsidRPr="006C59BF">
        <w:rPr>
          <w:rFonts w:hint="cs"/>
          <w:rtl/>
        </w:rPr>
        <w:t>، الفقرة 85) أن يُرسل المقرر ال</w:t>
      </w:r>
      <w:r>
        <w:rPr>
          <w:rFonts w:hint="cs"/>
          <w:rtl/>
        </w:rPr>
        <w:t>قُ</w:t>
      </w:r>
      <w:r w:rsidRPr="006C59BF">
        <w:rPr>
          <w:rFonts w:hint="cs"/>
          <w:rtl/>
        </w:rPr>
        <w:t xml:space="preserve">طري إلى الدولة الطرف المعنية قائمة قصيرة من المواضيع </w:t>
      </w:r>
      <w:r>
        <w:rPr>
          <w:rFonts w:hint="cs"/>
          <w:rtl/>
          <w:lang w:val="fr-CH"/>
        </w:rPr>
        <w:t>بهدف</w:t>
      </w:r>
      <w:r>
        <w:rPr>
          <w:rFonts w:hint="cs"/>
          <w:rtl/>
        </w:rPr>
        <w:t xml:space="preserve"> </w:t>
      </w:r>
      <w:r w:rsidRPr="006C59BF">
        <w:rPr>
          <w:rFonts w:hint="cs"/>
          <w:rtl/>
        </w:rPr>
        <w:t xml:space="preserve">توجيه الحوار </w:t>
      </w:r>
      <w:r>
        <w:rPr>
          <w:rFonts w:hint="cs"/>
          <w:rtl/>
        </w:rPr>
        <w:t xml:space="preserve">وتركيزه </w:t>
      </w:r>
      <w:r w:rsidRPr="006C59BF">
        <w:rPr>
          <w:rFonts w:hint="cs"/>
          <w:rtl/>
        </w:rPr>
        <w:t xml:space="preserve">بين وفد الدولة الطرف واللجنة </w:t>
      </w:r>
      <w:r>
        <w:rPr>
          <w:rFonts w:hint="cs"/>
          <w:rtl/>
        </w:rPr>
        <w:t xml:space="preserve">أثناء </w:t>
      </w:r>
      <w:r w:rsidRPr="006C59BF">
        <w:rPr>
          <w:rFonts w:hint="cs"/>
          <w:rtl/>
        </w:rPr>
        <w:t>النظر في تقرير الدولة الطرف. وتتضمن هذه الوثيقة قائمة مواضيع</w:t>
      </w:r>
      <w:r>
        <w:rPr>
          <w:rFonts w:hint="cs"/>
          <w:rtl/>
        </w:rPr>
        <w:t xml:space="preserve"> من هذا القبيل</w:t>
      </w:r>
      <w:r w:rsidRPr="006C59BF">
        <w:rPr>
          <w:rFonts w:hint="cs"/>
          <w:rtl/>
        </w:rPr>
        <w:t>. و</w:t>
      </w:r>
      <w:r>
        <w:rPr>
          <w:rFonts w:hint="cs"/>
          <w:rtl/>
        </w:rPr>
        <w:t xml:space="preserve">هذه القائمة </w:t>
      </w:r>
      <w:r w:rsidRPr="006C59BF">
        <w:rPr>
          <w:rFonts w:hint="cs"/>
          <w:rtl/>
        </w:rPr>
        <w:t>ليست شاملة</w:t>
      </w:r>
      <w:r>
        <w:rPr>
          <w:rFonts w:hint="cs"/>
          <w:rtl/>
        </w:rPr>
        <w:t>؛ إذ </w:t>
      </w:r>
      <w:r w:rsidRPr="006C59BF">
        <w:rPr>
          <w:rFonts w:hint="cs"/>
          <w:rtl/>
        </w:rPr>
        <w:t>يجوز أيضا</w:t>
      </w:r>
      <w:r>
        <w:rPr>
          <w:rFonts w:hint="cs"/>
          <w:rtl/>
        </w:rPr>
        <w:t>ً</w:t>
      </w:r>
      <w:r w:rsidRPr="006C59BF">
        <w:rPr>
          <w:rFonts w:hint="cs"/>
          <w:rtl/>
        </w:rPr>
        <w:t xml:space="preserve"> إثارة </w:t>
      </w:r>
      <w:r>
        <w:rPr>
          <w:rFonts w:hint="cs"/>
          <w:rtl/>
        </w:rPr>
        <w:t xml:space="preserve">مسائل </w:t>
      </w:r>
      <w:r w:rsidRPr="006C59BF">
        <w:rPr>
          <w:rFonts w:hint="cs"/>
          <w:rtl/>
        </w:rPr>
        <w:t>أخرى أثناء الحوار.</w:t>
      </w:r>
      <w:r>
        <w:rPr>
          <w:rFonts w:hint="cs"/>
          <w:rtl/>
        </w:rPr>
        <w:t xml:space="preserve"> ولا يلزم </w:t>
      </w:r>
      <w:r w:rsidRPr="006C59BF">
        <w:rPr>
          <w:rFonts w:hint="cs"/>
          <w:rtl/>
        </w:rPr>
        <w:t>تقديم ردود كتابية.</w:t>
      </w:r>
    </w:p>
    <w:p w:rsidR="004058B8" w:rsidRPr="00FC0EEC" w:rsidRDefault="004058B8" w:rsidP="004058B8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FC0EEC">
        <w:rPr>
          <w:rFonts w:hint="cs"/>
          <w:rtl/>
        </w:rPr>
        <w:t xml:space="preserve">الاتفاقية في القانون الداخلي والإطار المؤسسي والسياساتي لتنفيذها (المواد </w:t>
      </w:r>
      <w:r w:rsidRPr="00FC0EEC">
        <w:rPr>
          <w:color w:val="FF0000"/>
        </w:rPr>
        <w:t>XX</w:t>
      </w:r>
      <w:r>
        <w:rPr>
          <w:rFonts w:hint="cs"/>
          <w:rtl/>
        </w:rPr>
        <w:t xml:space="preserve"> و</w:t>
      </w:r>
      <w:r w:rsidRPr="00FC0EEC">
        <w:rPr>
          <w:color w:val="FF0000"/>
        </w:rPr>
        <w:t>XX</w:t>
      </w:r>
      <w:r>
        <w:rPr>
          <w:rFonts w:hint="eastAsia"/>
          <w:rtl/>
        </w:rPr>
        <w:t> </w:t>
      </w:r>
      <w:r w:rsidRPr="00FC0EEC">
        <w:rPr>
          <w:rFonts w:hint="cs"/>
          <w:rtl/>
        </w:rPr>
        <w:t>و</w:t>
      </w:r>
      <w:r w:rsidRPr="00FC0EEC">
        <w:rPr>
          <w:color w:val="FF0000"/>
        </w:rPr>
        <w:t>XX</w:t>
      </w:r>
      <w:r w:rsidRPr="00FC0EEC">
        <w:rPr>
          <w:rFonts w:hint="cs"/>
          <w:rtl/>
        </w:rPr>
        <w:t>)</w:t>
      </w:r>
    </w:p>
    <w:p w:rsidR="004058B8" w:rsidRDefault="004058B8" w:rsidP="004058B8">
      <w:pPr>
        <w:pStyle w:val="SingleTxtGA"/>
        <w:rPr>
          <w:rtl/>
        </w:rPr>
      </w:pPr>
      <w:r>
        <w:rPr>
          <w:rFonts w:hint="cs"/>
          <w:rtl/>
        </w:rPr>
        <w:t>2-</w:t>
      </w:r>
      <w:r>
        <w:rPr>
          <w:rFonts w:hint="cs"/>
          <w:rtl/>
        </w:rPr>
        <w:tab/>
      </w:r>
      <w:r w:rsidRPr="00E4077A">
        <w:rPr>
          <w:rFonts w:hint="cs"/>
          <w:color w:val="FF0000"/>
          <w:rtl/>
        </w:rPr>
        <w:t>...</w:t>
      </w:r>
      <w:r>
        <w:rPr>
          <w:rFonts w:hint="cs"/>
          <w:rtl/>
        </w:rPr>
        <w:t xml:space="preserve"> (</w:t>
      </w:r>
      <w:r w:rsidRPr="006E5DD6">
        <w:rPr>
          <w:lang w:val="es-ES"/>
        </w:rPr>
        <w:t>CERD/C/</w:t>
      </w:r>
      <w:r w:rsidRPr="006E5DD6">
        <w:rPr>
          <w:color w:val="FF0000"/>
          <w:lang w:val="es-ES"/>
        </w:rPr>
        <w:t>XXX</w:t>
      </w:r>
      <w:r w:rsidRPr="006E5DD6">
        <w:rPr>
          <w:lang w:val="es-ES"/>
        </w:rPr>
        <w:t>/CO/</w:t>
      </w:r>
      <w:r w:rsidRPr="006E5DD6">
        <w:rPr>
          <w:color w:val="FF0000"/>
          <w:lang w:val="es-ES"/>
        </w:rPr>
        <w:t>Y</w:t>
      </w:r>
      <w:r>
        <w:rPr>
          <w:rFonts w:hint="cs"/>
          <w:rtl/>
        </w:rPr>
        <w:t xml:space="preserve">، الفقرة </w:t>
      </w:r>
      <w:r w:rsidRPr="00C2029F">
        <w:rPr>
          <w:color w:val="FF0000"/>
        </w:rPr>
        <w:t>XX</w:t>
      </w:r>
      <w:r>
        <w:rPr>
          <w:rFonts w:hint="cs"/>
          <w:rtl/>
        </w:rPr>
        <w:t>؛ و</w:t>
      </w:r>
      <w:r w:rsidRPr="00446D0D">
        <w:rPr>
          <w:lang w:val="es-ES"/>
        </w:rPr>
        <w:t>CERD/C/</w:t>
      </w:r>
      <w:r w:rsidRPr="00446D0D">
        <w:rPr>
          <w:color w:val="FF0000"/>
          <w:lang w:val="es-ES"/>
        </w:rPr>
        <w:t>XXX</w:t>
      </w:r>
      <w:r w:rsidRPr="00446D0D">
        <w:rPr>
          <w:lang w:val="es-ES"/>
        </w:rPr>
        <w:t>/</w:t>
      </w:r>
      <w:r w:rsidRPr="00446D0D">
        <w:rPr>
          <w:color w:val="FF0000"/>
          <w:lang w:val="es-ES"/>
        </w:rPr>
        <w:t>Y</w:t>
      </w:r>
      <w:r>
        <w:rPr>
          <w:rFonts w:hint="cs"/>
          <w:rtl/>
        </w:rPr>
        <w:t xml:space="preserve">، الفقرات </w:t>
      </w:r>
      <w:r w:rsidRPr="00C2029F">
        <w:rPr>
          <w:color w:val="FF0000"/>
        </w:rPr>
        <w:t>XX</w:t>
      </w:r>
      <w:r>
        <w:rPr>
          <w:rFonts w:hint="cs"/>
          <w:rtl/>
        </w:rPr>
        <w:t xml:space="preserve"> و</w:t>
      </w:r>
      <w:r w:rsidRPr="00C2029F">
        <w:rPr>
          <w:color w:val="FF0000"/>
        </w:rPr>
        <w:t>XX</w:t>
      </w:r>
      <w:r>
        <w:rPr>
          <w:rFonts w:hint="cs"/>
          <w:rtl/>
        </w:rPr>
        <w:t>-</w:t>
      </w:r>
      <w:r w:rsidRPr="00C2029F">
        <w:t xml:space="preserve"> </w:t>
      </w:r>
      <w:r w:rsidRPr="00C2029F">
        <w:rPr>
          <w:color w:val="FF0000"/>
        </w:rPr>
        <w:t>XX</w:t>
      </w:r>
      <w:r>
        <w:rPr>
          <w:rFonts w:hint="cs"/>
          <w:rtl/>
        </w:rPr>
        <w:t xml:space="preserve"> و</w:t>
      </w:r>
      <w:r w:rsidRPr="00C2029F">
        <w:rPr>
          <w:color w:val="FF0000"/>
        </w:rPr>
        <w:t>XX</w:t>
      </w:r>
      <w:r>
        <w:rPr>
          <w:rFonts w:hint="cs"/>
          <w:rtl/>
        </w:rPr>
        <w:t xml:space="preserve">). </w:t>
      </w:r>
      <w:r w:rsidRPr="00C2029F">
        <w:rPr>
          <w:rFonts w:hint="cs"/>
          <w:highlight w:val="yellow"/>
          <w:rtl/>
        </w:rPr>
        <w:t>[[</w:t>
      </w:r>
      <w:r w:rsidRPr="00C2029F">
        <w:rPr>
          <w:rFonts w:hint="cs"/>
          <w:b/>
          <w:bCs/>
          <w:highlight w:val="yellow"/>
          <w:rtl/>
        </w:rPr>
        <w:t>الجمل غير كاملة عن قصد.</w:t>
      </w:r>
      <w:r w:rsidRPr="00C2029F">
        <w:rPr>
          <w:rFonts w:hint="cs"/>
          <w:highlight w:val="yellow"/>
          <w:rtl/>
        </w:rPr>
        <w:t>]]</w:t>
      </w:r>
    </w:p>
    <w:p w:rsidR="004058B8" w:rsidRPr="00FC0EEC" w:rsidRDefault="004058B8" w:rsidP="004058B8">
      <w:pPr>
        <w:pStyle w:val="SingleTxtGA"/>
        <w:jc w:val="center"/>
        <w:rPr>
          <w:u w:val="single"/>
          <w:rtl/>
        </w:rPr>
      </w:pP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sectPr w:rsidR="004058B8" w:rsidRPr="00FC0E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40711A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B75EE3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B75EE3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40711A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40711A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576BE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9E5456"/>
    <w:rsid w:val="00A04297"/>
    <w:rsid w:val="00A12B37"/>
    <w:rsid w:val="00A34EA8"/>
    <w:rsid w:val="00A473FF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7345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E073A-755C-4ED3-8DC8-590F4D96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15</cp:revision>
  <cp:lastPrinted>2016-06-21T10:29:00Z</cp:lastPrinted>
  <dcterms:created xsi:type="dcterms:W3CDTF">2018-06-22T08:39:00Z</dcterms:created>
  <dcterms:modified xsi:type="dcterms:W3CDTF">2018-06-22T15:16:00Z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