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352883">
        <w:trPr>
          <w:cantSplit/>
          <w:trHeight w:hRule="exact" w:val="851"/>
        </w:trPr>
        <w:tc>
          <w:tcPr>
            <w:tcW w:w="1276" w:type="dxa"/>
            <w:tcBorders>
              <w:bottom w:val="single" w:sz="4" w:space="0" w:color="auto"/>
            </w:tcBorders>
            <w:vAlign w:val="bottom"/>
          </w:tcPr>
          <w:p w:rsidR="00352883" w:rsidRDefault="00352883">
            <w:pPr>
              <w:spacing w:after="80"/>
            </w:pPr>
          </w:p>
        </w:tc>
        <w:tc>
          <w:tcPr>
            <w:tcW w:w="2268" w:type="dxa"/>
            <w:tcBorders>
              <w:bottom w:val="single" w:sz="4" w:space="0" w:color="auto"/>
            </w:tcBorders>
            <w:vAlign w:val="bottom"/>
          </w:tcPr>
          <w:p w:rsidR="00352883" w:rsidRDefault="00B5154D">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352883" w:rsidRDefault="00B5154D">
            <w:pPr>
              <w:suppressAutoHyphens w:val="0"/>
              <w:spacing w:after="20"/>
              <w:jc w:val="right"/>
            </w:pPr>
            <w:r>
              <w:rPr>
                <w:sz w:val="40"/>
              </w:rPr>
              <w:t>CERD</w:t>
            </w:r>
            <w:r>
              <w:t>/</w:t>
            </w:r>
            <w:fldSimple w:instr=" DOCPROPERTY  sym1  \* MERGEFORMAT ">
              <w:r>
                <w:t>sym1</w:t>
              </w:r>
            </w:fldSimple>
          </w:p>
        </w:tc>
      </w:tr>
      <w:tr w:rsidR="00352883">
        <w:trPr>
          <w:cantSplit/>
          <w:trHeight w:hRule="exact" w:val="2835"/>
        </w:trPr>
        <w:tc>
          <w:tcPr>
            <w:tcW w:w="1276" w:type="dxa"/>
            <w:tcBorders>
              <w:top w:val="single" w:sz="4" w:space="0" w:color="auto"/>
              <w:bottom w:val="single" w:sz="12" w:space="0" w:color="auto"/>
            </w:tcBorders>
          </w:tcPr>
          <w:p w:rsidR="00352883" w:rsidRDefault="00B5154D">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352883" w:rsidRDefault="00B5154D">
            <w:pPr>
              <w:spacing w:before="120" w:line="380" w:lineRule="exact"/>
            </w:pPr>
            <w:r>
              <w:rPr>
                <w:b/>
                <w:sz w:val="34"/>
                <w:szCs w:val="40"/>
              </w:rPr>
              <w:t>International Convention on</w:t>
            </w:r>
            <w:r>
              <w:rPr>
                <w:b/>
                <w:sz w:val="34"/>
                <w:szCs w:val="40"/>
              </w:rPr>
              <w:br/>
              <w:t>the Elimination of All Forms</w:t>
            </w:r>
            <w:r>
              <w:rPr>
                <w:b/>
                <w:sz w:val="34"/>
                <w:szCs w:val="40"/>
              </w:rPr>
              <w:br/>
              <w:t>of Racial Discrimination</w:t>
            </w:r>
          </w:p>
        </w:tc>
        <w:tc>
          <w:tcPr>
            <w:tcW w:w="2835" w:type="dxa"/>
            <w:tcBorders>
              <w:top w:val="single" w:sz="4" w:space="0" w:color="auto"/>
              <w:bottom w:val="single" w:sz="12" w:space="0" w:color="auto"/>
            </w:tcBorders>
          </w:tcPr>
          <w:p w:rsidR="00352883" w:rsidRDefault="00B5154D">
            <w:pPr>
              <w:suppressAutoHyphens w:val="0"/>
              <w:spacing w:before="240" w:line="240" w:lineRule="exact"/>
            </w:pPr>
            <w:r>
              <w:t xml:space="preserve">Distr.: </w:t>
            </w:r>
            <w:fldSimple w:instr=" DOCPROPERTY  dist  \* MERGEFORMAT ">
              <w:r>
                <w:t>Dist</w:t>
              </w:r>
            </w:fldSimple>
          </w:p>
          <w:p w:rsidR="00352883" w:rsidRDefault="00B5154D">
            <w:pPr>
              <w:suppressAutoHyphens w:val="0"/>
            </w:pPr>
            <w:fldSimple w:instr=" DOCPROPERTY  date  \* MERGEFORMAT ">
              <w:r>
                <w:t>date</w:t>
              </w:r>
            </w:fldSimple>
          </w:p>
          <w:p w:rsidR="00352883" w:rsidRDefault="00B5154D">
            <w:pPr>
              <w:suppressAutoHyphens w:val="0"/>
            </w:pPr>
            <w:fldSimple w:instr=" DOCPROPERTY  tlang  \* MERGEFORMAT ">
              <w:r>
                <w:t>tlang</w:t>
              </w:r>
            </w:fldSimple>
          </w:p>
          <w:p w:rsidR="00352883" w:rsidRDefault="00B5154D">
            <w:pPr>
              <w:suppressAutoHyphens w:val="0"/>
            </w:pPr>
            <w:r>
              <w:t xml:space="preserve">Original: </w:t>
            </w:r>
            <w:fldSimple w:instr=" DOCPROPERTY  olang  \* MERGEFORMAT ">
              <w:r>
                <w:t>olang</w:t>
              </w:r>
            </w:fldSimple>
          </w:p>
          <w:p w:rsidR="00352883" w:rsidRDefault="00B5154D">
            <w:pPr>
              <w:suppressAutoHyphens w:val="0"/>
            </w:pPr>
            <w:fldSimple w:instr=" DOCPROPERTY  virs  \* MERGEFORMAT ">
              <w:r>
                <w:t>virs</w:t>
              </w:r>
            </w:fldSimple>
          </w:p>
        </w:tc>
      </w:tr>
    </w:tbl>
    <w:p w:rsidR="00352883" w:rsidRDefault="00B5154D">
      <w:pPr>
        <w:spacing w:before="120"/>
        <w:rPr>
          <w:b/>
          <w:sz w:val="24"/>
          <w:szCs w:val="24"/>
        </w:rPr>
      </w:pPr>
      <w:r>
        <w:rPr>
          <w:b/>
          <w:sz w:val="24"/>
          <w:szCs w:val="24"/>
        </w:rPr>
        <w:t>Committee on the Elimination of Racial Discrimination</w:t>
      </w:r>
    </w:p>
    <w:p w:rsidR="00352883" w:rsidRDefault="00B5154D">
      <w:pPr>
        <w:pStyle w:val="HChG"/>
      </w:pPr>
      <w:r>
        <w:tab/>
      </w:r>
      <w:r>
        <w:tab/>
        <w:t xml:space="preserve">Concluding observations on the </w:t>
      </w:r>
      <w:fldSimple w:instr=" DOCPROPERTY  prep  \* MERGEFORMAT ">
        <w:r>
          <w:t>prep</w:t>
        </w:r>
      </w:fldSimple>
      <w:r>
        <w:rPr>
          <w:rStyle w:val="Refdenotaalpie"/>
          <w:b w:val="0"/>
          <w:sz w:val="20"/>
          <w:vertAlign w:val="baseline"/>
        </w:rPr>
        <w:footnoteReference w:customMarkFollows="1" w:id="2"/>
        <w:t>*</w:t>
      </w:r>
    </w:p>
    <w:p w:rsidR="00352883" w:rsidRDefault="00B5154D">
      <w:pPr>
        <w:pStyle w:val="SingleTxtG"/>
      </w:pPr>
      <w:r>
        <w:rPr>
          <w:bCs/>
        </w:rPr>
        <w:t>1.</w:t>
      </w:r>
      <w:r>
        <w:rPr>
          <w:bCs/>
        </w:rPr>
        <w:tab/>
      </w:r>
      <w:r>
        <w:t xml:space="preserve">The Committee considered the </w:t>
      </w:r>
      <w:r>
        <w:rPr>
          <w:color w:val="FF0000"/>
        </w:rPr>
        <w:t>[initial] [combined number periodic] [number periodic]</w:t>
      </w:r>
      <w:r>
        <w:t xml:space="preserve"> report</w:t>
      </w:r>
      <w:r>
        <w:rPr>
          <w:color w:val="FF0000"/>
        </w:rPr>
        <w:t xml:space="preserve">s </w:t>
      </w:r>
      <w:r>
        <w:t xml:space="preserve">of </w:t>
      </w:r>
      <w:r>
        <w:rPr>
          <w:color w:val="FF0000"/>
        </w:rPr>
        <w:t xml:space="preserve">country </w:t>
      </w:r>
      <w:r>
        <w:t>(CERD/C/</w:t>
      </w:r>
      <w:r>
        <w:rPr>
          <w:color w:val="FF0000"/>
        </w:rPr>
        <w:t>XXX</w:t>
      </w:r>
      <w:r>
        <w:t>/</w:t>
      </w:r>
      <w:r>
        <w:rPr>
          <w:color w:val="FF0000"/>
        </w:rPr>
        <w:t>Y</w:t>
      </w:r>
      <w:r>
        <w:t>)</w:t>
      </w:r>
      <w:r>
        <w:rPr>
          <w:color w:val="FF0000"/>
        </w:rPr>
        <w:t xml:space="preserve">[, submitted in one document,] </w:t>
      </w:r>
      <w:r>
        <w:t xml:space="preserve">at its </w:t>
      </w:r>
      <w:r>
        <w:rPr>
          <w:color w:val="FF0000"/>
        </w:rPr>
        <w:t>number</w:t>
      </w:r>
      <w:r>
        <w:t xml:space="preserve"> and </w:t>
      </w:r>
      <w:r>
        <w:rPr>
          <w:color w:val="FF0000"/>
        </w:rPr>
        <w:t>number</w:t>
      </w:r>
      <w:r>
        <w:t xml:space="preserve"> meetings (see</w:t>
      </w:r>
      <w:r>
        <w:rPr>
          <w:color w:val="FF0000"/>
        </w:rPr>
        <w:t xml:space="preserve"> </w:t>
      </w:r>
      <w:r>
        <w:t>CERD/C/SR.</w:t>
      </w:r>
      <w:r>
        <w:rPr>
          <w:color w:val="FF0000"/>
        </w:rPr>
        <w:t>XXX</w:t>
      </w:r>
      <w:r>
        <w:t xml:space="preserve"> and </w:t>
      </w:r>
      <w:r>
        <w:rPr>
          <w:color w:val="FF0000"/>
        </w:rPr>
        <w:t>XXX</w:t>
      </w:r>
      <w:r>
        <w:t xml:space="preserve">), held on </w:t>
      </w:r>
      <w:r>
        <w:rPr>
          <w:color w:val="FF0000"/>
        </w:rPr>
        <w:t>dates</w:t>
      </w:r>
      <w:r>
        <w:t xml:space="preserve">. At its </w:t>
      </w:r>
      <w:r>
        <w:rPr>
          <w:color w:val="FF0000"/>
        </w:rPr>
        <w:t>number</w:t>
      </w:r>
      <w:r>
        <w:t xml:space="preserve"> meeting, held on </w:t>
      </w:r>
      <w:r>
        <w:rPr>
          <w:color w:val="FF0000"/>
        </w:rPr>
        <w:t>date</w:t>
      </w:r>
      <w:r>
        <w:t>, it adopted the present concluding observations.</w:t>
      </w:r>
    </w:p>
    <w:p w:rsidR="00352883" w:rsidRDefault="00B5154D">
      <w:pPr>
        <w:pStyle w:val="H1G"/>
      </w:pPr>
      <w:r>
        <w:tab/>
        <w:t>A.</w:t>
      </w:r>
      <w:r>
        <w:tab/>
        <w:t>Introduction</w:t>
      </w:r>
    </w:p>
    <w:p w:rsidR="00352883" w:rsidRDefault="00B5154D">
      <w:pPr>
        <w:pStyle w:val="SingleTxtG"/>
      </w:pPr>
      <w:r>
        <w:t>2.</w:t>
      </w:r>
      <w:r>
        <w:tab/>
        <w:t xml:space="preserve">The Committee welcomes the submission of the </w:t>
      </w:r>
      <w:r>
        <w:rPr>
          <w:color w:val="FF0000"/>
        </w:rPr>
        <w:t>[initial] [combined number periodic] [number periodic]</w:t>
      </w:r>
      <w:r>
        <w:t xml:space="preserve"> report</w:t>
      </w:r>
      <w:r>
        <w:rPr>
          <w:color w:val="FF0000"/>
        </w:rPr>
        <w:t xml:space="preserve">s </w:t>
      </w:r>
      <w:r>
        <w:t xml:space="preserve">of the State party. </w:t>
      </w:r>
      <w:r>
        <w:rPr>
          <w:color w:val="FF0000"/>
        </w:rPr>
        <w:t>…</w:t>
      </w:r>
      <w:r>
        <w:t xml:space="preserve">. </w:t>
      </w:r>
    </w:p>
    <w:p w:rsidR="00352883" w:rsidRDefault="00B5154D">
      <w:pPr>
        <w:pStyle w:val="H1G"/>
      </w:pPr>
      <w:r>
        <w:tab/>
        <w:t>B.</w:t>
      </w:r>
      <w:r>
        <w:tab/>
        <w:t xml:space="preserve">Factors and difficulties impeding the implementation of the Convention </w:t>
      </w:r>
      <w:r>
        <w:rPr>
          <w:highlight w:val="yellow"/>
        </w:rPr>
        <w:t xml:space="preserve">[[Not always included]] </w:t>
      </w:r>
    </w:p>
    <w:p w:rsidR="00352883" w:rsidRDefault="00B5154D">
      <w:pPr>
        <w:pStyle w:val="H1G"/>
      </w:pPr>
      <w:r>
        <w:tab/>
        <w:t>C.</w:t>
      </w:r>
      <w:r>
        <w:tab/>
        <w:t>Positive aspects</w:t>
      </w:r>
    </w:p>
    <w:p w:rsidR="00352883" w:rsidRDefault="00B5154D">
      <w:pPr>
        <w:pStyle w:val="SingleTxtG"/>
        <w:rPr>
          <w:lang w:val="en-US"/>
        </w:rPr>
      </w:pPr>
      <w:r>
        <w:t>2.</w:t>
      </w:r>
      <w:r>
        <w:rPr>
          <w:color w:val="FF0000"/>
        </w:rPr>
        <w:tab/>
      </w:r>
      <w:r>
        <w:rPr>
          <w:lang w:val="en-US"/>
        </w:rPr>
        <w:t xml:space="preserve">The Committee welcomes the State party’s </w:t>
      </w:r>
      <w:r>
        <w:rPr>
          <w:color w:val="FF0000"/>
          <w:lang w:val="en-US"/>
        </w:rPr>
        <w:t xml:space="preserve">[accession to] [amendment of] [adoption of] [ratification of] </w:t>
      </w:r>
      <w:r>
        <w:rPr>
          <w:lang w:val="en-US"/>
        </w:rPr>
        <w:t xml:space="preserve">the </w:t>
      </w:r>
      <w:r>
        <w:rPr>
          <w:color w:val="FF0000"/>
          <w:lang w:val="en-US"/>
        </w:rPr>
        <w:t>[instrument] [law]</w:t>
      </w:r>
      <w:r>
        <w:rPr>
          <w:lang w:val="en-US"/>
        </w:rPr>
        <w:t xml:space="preserve"> </w:t>
      </w:r>
      <w:r>
        <w:rPr>
          <w:color w:val="FF0000"/>
          <w:lang w:val="en-US"/>
        </w:rPr>
        <w:t>[in] [on] date</w:t>
      </w:r>
      <w:r>
        <w:rPr>
          <w:lang w:val="en-US"/>
        </w:rPr>
        <w:t xml:space="preserve">. </w:t>
      </w:r>
    </w:p>
    <w:p w:rsidR="00352883" w:rsidRDefault="00B5154D">
      <w:pPr>
        <w:pStyle w:val="SingleTxtG"/>
      </w:pPr>
      <w:r>
        <w:t>3.</w:t>
      </w:r>
      <w:r>
        <w:tab/>
        <w:t>The Committee also welcomes the ratification by the State party of the following international human rights instruments:</w:t>
      </w:r>
    </w:p>
    <w:p w:rsidR="00352883" w:rsidRDefault="00B5154D">
      <w:pPr>
        <w:pStyle w:val="SingleTxtG"/>
        <w:ind w:firstLine="567"/>
      </w:pPr>
      <w:r>
        <w:t>(a)</w:t>
      </w:r>
      <w:r>
        <w:tab/>
        <w:t xml:space="preserve">The </w:t>
      </w:r>
      <w:r>
        <w:rPr>
          <w:color w:val="FF0000"/>
        </w:rPr>
        <w:t xml:space="preserve">instrument, </w:t>
      </w:r>
      <w:r>
        <w:rPr>
          <w:color w:val="FF0000"/>
          <w:lang w:val="en-US"/>
        </w:rPr>
        <w:t xml:space="preserve">[in] [on] </w:t>
      </w:r>
      <w:r>
        <w:rPr>
          <w:color w:val="FF0000"/>
        </w:rPr>
        <w:t>date</w:t>
      </w:r>
      <w:r>
        <w:t xml:space="preserve">; </w:t>
      </w:r>
    </w:p>
    <w:p w:rsidR="00352883" w:rsidRDefault="00B5154D">
      <w:pPr>
        <w:pStyle w:val="SingleTxtG"/>
        <w:ind w:firstLine="567"/>
      </w:pPr>
      <w:r>
        <w:t>(b)</w:t>
      </w:r>
      <w:r>
        <w:tab/>
        <w:t xml:space="preserve">The </w:t>
      </w:r>
      <w:r>
        <w:rPr>
          <w:color w:val="FF0000"/>
        </w:rPr>
        <w:t xml:space="preserve">instrument, </w:t>
      </w:r>
      <w:r>
        <w:rPr>
          <w:color w:val="FF0000"/>
          <w:lang w:val="en-US"/>
        </w:rPr>
        <w:t xml:space="preserve">[in] [on] </w:t>
      </w:r>
      <w:r>
        <w:rPr>
          <w:color w:val="FF0000"/>
        </w:rPr>
        <w:t>date</w:t>
      </w:r>
      <w:r>
        <w:t>.</w:t>
      </w:r>
    </w:p>
    <w:p w:rsidR="00352883" w:rsidRDefault="00B5154D">
      <w:pPr>
        <w:pStyle w:val="SingleTxtG"/>
        <w:keepNext/>
      </w:pPr>
      <w:r>
        <w:t>4.</w:t>
      </w:r>
      <w:r>
        <w:tab/>
        <w:t xml:space="preserve">The Committee further welcomes the following legislative </w:t>
      </w:r>
      <w:r>
        <w:rPr>
          <w:color w:val="FF0000"/>
          <w:lang w:val="en-US"/>
        </w:rPr>
        <w:t xml:space="preserve">[and institutional] [and policy] </w:t>
      </w:r>
      <w:r>
        <w:t>measures taken by the State party:</w:t>
      </w:r>
    </w:p>
    <w:p w:rsidR="00352883" w:rsidRDefault="00B5154D">
      <w:pPr>
        <w:pStyle w:val="SingleTxtG"/>
        <w:ind w:firstLine="567"/>
        <w:rPr>
          <w:color w:val="000000"/>
          <w:lang w:eastAsia="en-GB"/>
        </w:rPr>
      </w:pPr>
      <w:r>
        <w:rPr>
          <w:color w:val="000000"/>
          <w:lang w:eastAsia="en-GB"/>
        </w:rPr>
        <w:t>(a)</w:t>
      </w:r>
      <w:r>
        <w:rPr>
          <w:color w:val="000000"/>
          <w:lang w:eastAsia="en-GB"/>
        </w:rPr>
        <w:tab/>
      </w:r>
      <w:r>
        <w:rPr>
          <w:color w:val="FF0000"/>
        </w:rPr>
        <w:t>...</w:t>
      </w:r>
      <w:r>
        <w:t>;</w:t>
      </w:r>
    </w:p>
    <w:p w:rsidR="00352883" w:rsidRDefault="00B5154D">
      <w:pPr>
        <w:pStyle w:val="SingleTxtG"/>
        <w:ind w:firstLine="567"/>
        <w:rPr>
          <w:color w:val="000000"/>
          <w:lang w:eastAsia="en-GB"/>
        </w:rPr>
      </w:pPr>
      <w:r>
        <w:rPr>
          <w:color w:val="000000"/>
          <w:lang w:eastAsia="en-GB"/>
        </w:rPr>
        <w:t>(b)</w:t>
      </w:r>
      <w:r>
        <w:rPr>
          <w:color w:val="FF0000"/>
        </w:rPr>
        <w:tab/>
        <w:t>...</w:t>
      </w:r>
      <w:r>
        <w:t>;</w:t>
      </w:r>
    </w:p>
    <w:p w:rsidR="00352883" w:rsidRDefault="00B5154D">
      <w:pPr>
        <w:pStyle w:val="SingleTxtG"/>
        <w:ind w:firstLine="567"/>
        <w:rPr>
          <w:color w:val="000000"/>
          <w:lang w:eastAsia="en-GB"/>
        </w:rPr>
      </w:pPr>
      <w:r>
        <w:rPr>
          <w:color w:val="000000"/>
          <w:lang w:eastAsia="en-GB"/>
        </w:rPr>
        <w:t>(c)</w:t>
      </w:r>
      <w:r>
        <w:rPr>
          <w:color w:val="000000"/>
          <w:lang w:eastAsia="en-GB"/>
        </w:rPr>
        <w:tab/>
      </w:r>
      <w:r>
        <w:rPr>
          <w:color w:val="FF0000"/>
        </w:rPr>
        <w:t>...</w:t>
      </w:r>
      <w:r>
        <w:t>.</w:t>
      </w:r>
    </w:p>
    <w:p w:rsidR="00352883" w:rsidRDefault="00B5154D">
      <w:pPr>
        <w:pStyle w:val="H1G"/>
      </w:pPr>
      <w:r>
        <w:lastRenderedPageBreak/>
        <w:tab/>
        <w:t>D.</w:t>
      </w:r>
      <w:r>
        <w:tab/>
        <w:t xml:space="preserve">Concerns and recommendations </w:t>
      </w:r>
    </w:p>
    <w:p w:rsidR="00352883" w:rsidRDefault="00B5154D">
      <w:pPr>
        <w:pStyle w:val="H23G"/>
      </w:pPr>
      <w:r>
        <w:tab/>
      </w:r>
      <w:r>
        <w:tab/>
        <w:t>Data collection</w:t>
      </w:r>
    </w:p>
    <w:p w:rsidR="00352883" w:rsidRDefault="00B5154D">
      <w:pPr>
        <w:pStyle w:val="H1G"/>
      </w:pPr>
      <w:r>
        <w:tab/>
        <w:t>E.</w:t>
      </w:r>
      <w:r>
        <w:tab/>
        <w:t>Other recommendations</w:t>
      </w:r>
    </w:p>
    <w:p w:rsidR="00352883" w:rsidRDefault="00B5154D">
      <w:pPr>
        <w:pStyle w:val="H23G"/>
      </w:pPr>
      <w:r>
        <w:tab/>
      </w:r>
      <w:r>
        <w:tab/>
        <w:t xml:space="preserve">Ratification of other treaties </w:t>
      </w:r>
      <w:r>
        <w:rPr>
          <w:highlight w:val="yellow"/>
        </w:rPr>
        <w:t>[[Order of subheadings may vary.]]</w:t>
      </w:r>
    </w:p>
    <w:p w:rsidR="00352883" w:rsidRDefault="00B5154D">
      <w:pPr>
        <w:pStyle w:val="SingleTxtG"/>
        <w:rPr>
          <w:color w:val="FF0000"/>
        </w:rPr>
      </w:pPr>
      <w:r>
        <w:t>28.</w:t>
      </w:r>
      <w:r>
        <w:rPr>
          <w:color w:val="FF0000"/>
        </w:rPr>
        <w:tab/>
      </w:r>
      <w:r>
        <w:rPr>
          <w:b/>
          <w:bCs/>
        </w:rPr>
        <w:t xml:space="preserve">Bearing in mind the indivisibility of all human rights, the Committee encourages the State party to consider ratifying those international human rights treaties that it has not yet ratified, in particular treaties with provisions that have direct relevance to communities that may be subjected to racial discrimination, including </w:t>
      </w:r>
      <w:r>
        <w:rPr>
          <w:b/>
          <w:bCs/>
          <w:color w:val="FF0000"/>
        </w:rPr>
        <w:t>[the International Convention on the Protection of the Rights of All Migrant Workers and Members of Their Families]</w:t>
      </w:r>
      <w:r>
        <w:rPr>
          <w:b/>
          <w:bCs/>
        </w:rPr>
        <w:t xml:space="preserve"> </w:t>
      </w:r>
      <w:r>
        <w:rPr>
          <w:b/>
          <w:bCs/>
          <w:color w:val="FF0000"/>
        </w:rPr>
        <w:t xml:space="preserve">[the Domestic Workers Convention, 2011 (No. 189), of the International Labour Organization] </w:t>
      </w:r>
      <w:r>
        <w:rPr>
          <w:b/>
          <w:bCs/>
        </w:rPr>
        <w:t>and</w:t>
      </w:r>
      <w:r>
        <w:rPr>
          <w:b/>
          <w:bCs/>
          <w:color w:val="FF0000"/>
        </w:rPr>
        <w:t xml:space="preserve"> [other treaties]</w:t>
      </w:r>
      <w:r>
        <w:rPr>
          <w:b/>
          <w:bCs/>
        </w:rPr>
        <w:t>. The Committee encourages the State party to accede to</w:t>
      </w:r>
      <w:r>
        <w:rPr>
          <w:b/>
          <w:bCs/>
          <w:color w:val="FF0000"/>
        </w:rPr>
        <w:t xml:space="preserve"> [the 1954 Convention relating to the Status of Stateless Persons and the 1961 Convention on the Reduction of Statelessness]</w:t>
      </w:r>
      <w:r>
        <w:rPr>
          <w:b/>
          <w:bCs/>
        </w:rPr>
        <w:t>. Lastly, the Committee recommends that the State party consider ratifying</w:t>
      </w:r>
      <w:r>
        <w:rPr>
          <w:b/>
          <w:bCs/>
          <w:color w:val="FF0000"/>
        </w:rPr>
        <w:t xml:space="preserve"> [the Inter-American Convention against Racism, Racial Discrimination and Related Forms of Intolerance]</w:t>
      </w:r>
      <w:r>
        <w:rPr>
          <w:b/>
          <w:bCs/>
        </w:rPr>
        <w:t>.</w:t>
      </w:r>
    </w:p>
    <w:p w:rsidR="00352883" w:rsidRDefault="00B5154D">
      <w:pPr>
        <w:pStyle w:val="H23G"/>
      </w:pPr>
      <w:r>
        <w:tab/>
      </w:r>
      <w:r>
        <w:tab/>
        <w:t>Amendment to article 8 of the Convention</w:t>
      </w:r>
    </w:p>
    <w:p w:rsidR="00352883" w:rsidRDefault="00B5154D">
      <w:pPr>
        <w:pStyle w:val="SingleTxtG"/>
      </w:pPr>
      <w:r>
        <w:t>29.</w:t>
      </w:r>
      <w:r>
        <w:tab/>
      </w:r>
      <w:r>
        <w:rPr>
          <w:b/>
          <w:bCs/>
        </w:rPr>
        <w:t>The Committee recommends that the State party ratify the amendment to article 8 (6) of the Convention adopted on 15 January 1992 at the fourteenth meeting of States parties to the Convention and endorsed by the General Assembly in its resolution 47/111.</w:t>
      </w:r>
      <w:r>
        <w:t xml:space="preserve"> </w:t>
      </w:r>
    </w:p>
    <w:p w:rsidR="00352883" w:rsidRDefault="00B5154D">
      <w:pPr>
        <w:pStyle w:val="H23G"/>
      </w:pPr>
      <w:r>
        <w:tab/>
      </w:r>
      <w:r>
        <w:tab/>
        <w:t>Declaration under article 14 of the Convention</w:t>
      </w:r>
    </w:p>
    <w:p w:rsidR="00352883" w:rsidRDefault="00B5154D">
      <w:pPr>
        <w:pStyle w:val="SingleTxtG"/>
        <w:ind w:left="1135"/>
      </w:pPr>
      <w:r>
        <w:t>30.</w:t>
      </w:r>
      <w:r>
        <w:tab/>
      </w:r>
      <w:r>
        <w:rPr>
          <w:b/>
          <w:bCs/>
        </w:rPr>
        <w:t xml:space="preserve">The Committee encourages the State party </w:t>
      </w:r>
      <w:r>
        <w:rPr>
          <w:b/>
          <w:bCs/>
          <w:color w:val="FF0000"/>
        </w:rPr>
        <w:t>[to make] [to consider making]</w:t>
      </w:r>
      <w:r>
        <w:rPr>
          <w:b/>
          <w:bCs/>
        </w:rPr>
        <w:t xml:space="preserve"> the optional declaration provided for in article 14 of the Convention recognizing the competence of the Committee to receive and consider individual complaints.</w:t>
      </w:r>
    </w:p>
    <w:p w:rsidR="00352883" w:rsidRDefault="00B5154D">
      <w:pPr>
        <w:pStyle w:val="H23G"/>
      </w:pPr>
      <w:r>
        <w:tab/>
      </w:r>
      <w:r>
        <w:tab/>
        <w:t>Follow-up to the Durban Declaration and Programme of Action</w:t>
      </w:r>
    </w:p>
    <w:p w:rsidR="00352883" w:rsidRDefault="00B5154D">
      <w:pPr>
        <w:pStyle w:val="SingleTxtG"/>
      </w:pPr>
      <w:r>
        <w:t>31.</w:t>
      </w:r>
      <w:r>
        <w:rPr>
          <w:color w:val="FF0000"/>
        </w:rPr>
        <w:tab/>
      </w:r>
      <w:r>
        <w:rPr>
          <w:b/>
          <w:bCs/>
        </w:rPr>
        <w:t>In the light of its general recommendation No. 33 (2009) on the follow-up to the Durban Review Conference, the Committee recommends that</w:t>
      </w:r>
      <w:r>
        <w:rPr>
          <w:b/>
          <w:bCs/>
          <w:lang w:eastAsia="en-GB"/>
        </w:rPr>
        <w:t xml:space="preserve">, when implementing the </w:t>
      </w:r>
      <w:r>
        <w:rPr>
          <w:b/>
          <w:bCs/>
        </w:rPr>
        <w:t>Convention</w:t>
      </w:r>
      <w:r>
        <w:rPr>
          <w:b/>
          <w:bCs/>
          <w:lang w:eastAsia="en-GB"/>
        </w:rPr>
        <w:t xml:space="preserve"> in its domestic legal</w:t>
      </w:r>
      <w:r>
        <w:rPr>
          <w:b/>
          <w:bCs/>
        </w:rPr>
        <w:t xml:space="preserve"> order, the State party give effect to the Durban Declaration and Programme of Action, adopted in September 2001 by the World Conference against Racism, Racial Discrimination, Xenophobia and Related </w:t>
      </w:r>
      <w:r>
        <w:rPr>
          <w:b/>
          <w:bCs/>
          <w:lang w:eastAsia="en-GB"/>
        </w:rPr>
        <w:t>Intolerance, taking into account the outcome document of the Durban Review Conference,</w:t>
      </w:r>
      <w:r>
        <w:rPr>
          <w:b/>
          <w:bCs/>
        </w:rPr>
        <w:t xml:space="preserve"> </w:t>
      </w:r>
      <w:r>
        <w:rPr>
          <w:b/>
          <w:bCs/>
          <w:lang w:eastAsia="en-GB"/>
        </w:rPr>
        <w:t>held in Geneva in April 2009</w:t>
      </w:r>
      <w:r>
        <w:rPr>
          <w:b/>
          <w:bCs/>
        </w:rPr>
        <w:t xml:space="preserve">. The Committee requests that the State party include in its next periodic report </w:t>
      </w:r>
      <w:r>
        <w:rPr>
          <w:b/>
          <w:bCs/>
          <w:lang w:eastAsia="en-GB"/>
        </w:rPr>
        <w:t>specific information on action plans and other measures taken to implement the Durban</w:t>
      </w:r>
      <w:r>
        <w:rPr>
          <w:b/>
          <w:bCs/>
        </w:rPr>
        <w:t xml:space="preserve"> Declaration and Programme of Action at the national level.</w:t>
      </w:r>
      <w:r>
        <w:t xml:space="preserve"> </w:t>
      </w:r>
    </w:p>
    <w:p w:rsidR="00352883" w:rsidRDefault="00B5154D">
      <w:pPr>
        <w:pStyle w:val="H23G"/>
      </w:pPr>
      <w:r>
        <w:tab/>
      </w:r>
      <w:r>
        <w:tab/>
        <w:t xml:space="preserve">International Decade for People of African Descent </w:t>
      </w:r>
    </w:p>
    <w:p w:rsidR="00352883" w:rsidRDefault="00B5154D">
      <w:pPr>
        <w:pStyle w:val="SingleTxtG"/>
        <w:rPr>
          <w:lang w:eastAsia="en-GB"/>
        </w:rPr>
      </w:pPr>
      <w:r>
        <w:t>32.</w:t>
      </w:r>
      <w:r>
        <w:rPr>
          <w:color w:val="FF0000"/>
        </w:rPr>
        <w:tab/>
      </w:r>
      <w:r>
        <w:rPr>
          <w:b/>
          <w:bCs/>
          <w:lang w:eastAsia="en-GB"/>
        </w:rPr>
        <w:t xml:space="preserve">In the light of General Assembly resolution 68/237, in which the Assembly proclaimed 2015-2024 the International Decade for People of African Descent, and Assembly resolution 69/16 on the programme of activities for the implementation of the Decade, the Committee recommends that the State party prepare and implement a suitable programme of measures and policies </w:t>
      </w:r>
      <w:r>
        <w:rPr>
          <w:b/>
          <w:bCs/>
          <w:color w:val="FF0000"/>
          <w:lang w:eastAsia="en-GB"/>
        </w:rPr>
        <w:t>[in collaboration with organizations and peoples of African descent]</w:t>
      </w:r>
      <w:r>
        <w:rPr>
          <w:b/>
          <w:bCs/>
          <w:lang w:eastAsia="en-GB"/>
        </w:rPr>
        <w:t>. The Committee requests that the State party include in its next report precise information on the concrete measures adopted in that framework, taking into account its general recommendation No. 34 (2011) on racial discrimination against people of African descent.</w:t>
      </w:r>
      <w:r>
        <w:rPr>
          <w:lang w:eastAsia="en-GB"/>
        </w:rPr>
        <w:t xml:space="preserve"> </w:t>
      </w:r>
    </w:p>
    <w:p w:rsidR="00352883" w:rsidRDefault="00B5154D">
      <w:pPr>
        <w:pStyle w:val="H23G"/>
      </w:pPr>
      <w:bookmarkStart w:id="0" w:name="_GoBack"/>
      <w:bookmarkEnd w:id="0"/>
      <w:r>
        <w:lastRenderedPageBreak/>
        <w:tab/>
      </w:r>
      <w:r>
        <w:tab/>
        <w:t>Consultations with civil society</w:t>
      </w:r>
    </w:p>
    <w:p w:rsidR="00352883" w:rsidRDefault="00B5154D">
      <w:pPr>
        <w:pStyle w:val="SingleTxtG"/>
      </w:pPr>
      <w:r>
        <w:t>33.</w:t>
      </w:r>
      <w:r>
        <w:rPr>
          <w:color w:val="FF0000"/>
        </w:rPr>
        <w:tab/>
      </w:r>
      <w:r>
        <w:rPr>
          <w:b/>
          <w:bCs/>
        </w:rPr>
        <w:t>The Committee recommends that the State party continue consulting and increasing its dialogue with civil society organizations working in the area of human rights protection, in particular those working to combat racial discrimination, in connection with the preparation of the next periodic report and in follow-up to the present concluding observations.</w:t>
      </w:r>
    </w:p>
    <w:p w:rsidR="00352883" w:rsidRDefault="00B5154D">
      <w:pPr>
        <w:pStyle w:val="H23G"/>
      </w:pPr>
      <w:r>
        <w:tab/>
      </w:r>
      <w:r>
        <w:tab/>
        <w:t>Dissemination of information</w:t>
      </w:r>
    </w:p>
    <w:p w:rsidR="00352883" w:rsidRDefault="00B5154D">
      <w:pPr>
        <w:pStyle w:val="SingleTxtG"/>
      </w:pPr>
      <w:r>
        <w:t>34.</w:t>
      </w:r>
      <w:r>
        <w:rPr>
          <w:color w:val="FF0000"/>
        </w:rPr>
        <w:tab/>
      </w:r>
      <w:r>
        <w:rPr>
          <w:b/>
          <w:bCs/>
        </w:rPr>
        <w:t xml:space="preserve">The Committee recommends that the State party’s reports be made readily available and accessible to the public at the time of their submission and that the concluding observations of the Committee with respect to those reports be similarly </w:t>
      </w:r>
      <w:r>
        <w:rPr>
          <w:b/>
          <w:bCs/>
          <w:color w:val="FF0000"/>
        </w:rPr>
        <w:t>[made available to all State bodies entrusted with the implementation of the Convention, including municipalities] [publicized on the website of the Ministry of Foreign Affairs]</w:t>
      </w:r>
      <w:r>
        <w:rPr>
          <w:b/>
          <w:bCs/>
        </w:rPr>
        <w:t xml:space="preserve"> in the official and other commonly used languages, as appropriate.</w:t>
      </w:r>
    </w:p>
    <w:p w:rsidR="00352883" w:rsidRDefault="00B5154D">
      <w:pPr>
        <w:pStyle w:val="H23G"/>
      </w:pPr>
      <w:r>
        <w:tab/>
      </w:r>
      <w:r>
        <w:tab/>
        <w:t>Common core document</w:t>
      </w:r>
    </w:p>
    <w:p w:rsidR="00352883" w:rsidRDefault="00B5154D">
      <w:pPr>
        <w:pStyle w:val="SingleTxtG"/>
        <w:rPr>
          <w:b/>
          <w:bCs/>
          <w:color w:val="000000"/>
          <w:lang w:val="en-US"/>
        </w:rPr>
      </w:pPr>
      <w:r>
        <w:rPr>
          <w:color w:val="000000"/>
          <w:lang w:val="en-US"/>
        </w:rPr>
        <w:t>35.</w:t>
      </w:r>
      <w:r>
        <w:rPr>
          <w:color w:val="000000"/>
          <w:lang w:val="en-US"/>
        </w:rPr>
        <w:tab/>
      </w:r>
      <w:r>
        <w:rPr>
          <w:b/>
          <w:bCs/>
          <w:color w:val="000000"/>
          <w:lang w:val="en-US"/>
        </w:rPr>
        <w:t xml:space="preserve">The Committee encourages the State party to update </w:t>
      </w:r>
      <w:r>
        <w:rPr>
          <w:b/>
          <w:bCs/>
          <w:lang w:val="en-US"/>
        </w:rPr>
        <w:t>its common core</w:t>
      </w:r>
      <w:r>
        <w:rPr>
          <w:b/>
          <w:bCs/>
          <w:color w:val="000000"/>
          <w:lang w:val="en-US"/>
        </w:rPr>
        <w:t xml:space="preserve"> document </w:t>
      </w:r>
      <w:r>
        <w:rPr>
          <w:b/>
          <w:bCs/>
          <w:color w:val="FF0000"/>
          <w:lang w:val="en-US"/>
        </w:rPr>
        <w:t>[,which dates to xxxx,]</w:t>
      </w:r>
      <w:r>
        <w:rPr>
          <w:b/>
          <w:bCs/>
          <w:color w:val="000000"/>
          <w:lang w:val="en-US"/>
        </w:rPr>
        <w:t xml:space="preserve"> in accordance with the </w:t>
      </w:r>
      <w:r>
        <w:rPr>
          <w:b/>
          <w:bCs/>
        </w:rPr>
        <w:t>harmonized</w:t>
      </w:r>
      <w:r>
        <w:rPr>
          <w:b/>
          <w:bCs/>
          <w:color w:val="000000"/>
          <w:lang w:val="en-US"/>
        </w:rPr>
        <w:t xml:space="preserve"> guidelines on reporting under the international human rights treaties, in particular those on the common core document, as adopted at the fifth inter-committee meeting of the human rights treaty bodies held in June 2006 (HRI/GEN/2/Rev.6, chap. I). In the light of General Assembly resolution 68/268, the Committee urges the State party to observe the limit of 42,400 </w:t>
      </w:r>
      <w:r>
        <w:rPr>
          <w:b/>
          <w:bCs/>
          <w:lang w:val="en-US"/>
        </w:rPr>
        <w:t>words for such documents</w:t>
      </w:r>
      <w:r>
        <w:rPr>
          <w:b/>
          <w:bCs/>
          <w:color w:val="000000"/>
          <w:lang w:val="en-US"/>
        </w:rPr>
        <w:t>.</w:t>
      </w:r>
    </w:p>
    <w:p w:rsidR="00352883" w:rsidRDefault="00B5154D">
      <w:pPr>
        <w:pStyle w:val="H23G"/>
      </w:pPr>
      <w:r>
        <w:tab/>
      </w:r>
      <w:r>
        <w:tab/>
        <w:t>Follow-up to the present concluding observations</w:t>
      </w:r>
    </w:p>
    <w:p w:rsidR="00352883" w:rsidRDefault="00B5154D">
      <w:pPr>
        <w:pStyle w:val="SingleTxtG"/>
      </w:pPr>
      <w:r>
        <w:t>36.</w:t>
      </w:r>
      <w:r>
        <w:rPr>
          <w:color w:val="FF0000"/>
        </w:rPr>
        <w:tab/>
      </w:r>
      <w:r>
        <w:rPr>
          <w:b/>
          <w:bCs/>
        </w:rPr>
        <w:t xml:space="preserve">In accordance with article 9 (1) of the Convention and rule 65 of its rules of procedure, the Committee requests the State party to provide, within one year of the adoption of the present concluding observations, information on its implementation of the recommendations contained in paragraphs </w:t>
      </w:r>
      <w:r>
        <w:rPr>
          <w:b/>
          <w:bCs/>
          <w:color w:val="FF0000"/>
        </w:rPr>
        <w:t>X</w:t>
      </w:r>
      <w:r>
        <w:rPr>
          <w:b/>
          <w:bCs/>
        </w:rPr>
        <w:t xml:space="preserve">, </w:t>
      </w:r>
      <w:r>
        <w:rPr>
          <w:b/>
          <w:bCs/>
          <w:color w:val="FF0000"/>
        </w:rPr>
        <w:t xml:space="preserve">Y </w:t>
      </w:r>
      <w:r>
        <w:rPr>
          <w:b/>
          <w:bCs/>
        </w:rPr>
        <w:t xml:space="preserve">and </w:t>
      </w:r>
      <w:r>
        <w:rPr>
          <w:b/>
          <w:bCs/>
          <w:color w:val="FF0000"/>
        </w:rPr>
        <w:t xml:space="preserve">Z </w:t>
      </w:r>
      <w:r>
        <w:rPr>
          <w:b/>
          <w:bCs/>
        </w:rPr>
        <w:t>above.</w:t>
      </w:r>
    </w:p>
    <w:p w:rsidR="00352883" w:rsidRDefault="00B5154D">
      <w:pPr>
        <w:pStyle w:val="H23G"/>
      </w:pPr>
      <w:r>
        <w:tab/>
      </w:r>
      <w:r>
        <w:tab/>
        <w:t>Paragraphs of particular importance</w:t>
      </w:r>
    </w:p>
    <w:p w:rsidR="00352883" w:rsidRDefault="00B5154D">
      <w:pPr>
        <w:pStyle w:val="SingleTxtG"/>
        <w:rPr>
          <w:b/>
          <w:bCs/>
        </w:rPr>
      </w:pPr>
      <w:r>
        <w:t>37.</w:t>
      </w:r>
      <w:r>
        <w:rPr>
          <w:color w:val="FF0000"/>
        </w:rPr>
        <w:tab/>
      </w:r>
      <w:r>
        <w:rPr>
          <w:b/>
          <w:bCs/>
        </w:rPr>
        <w:t xml:space="preserve">The Committee wishes to draw the attention of the State party to the particular importance of the recommendations contained in paragraphs </w:t>
      </w:r>
      <w:r>
        <w:rPr>
          <w:b/>
          <w:bCs/>
          <w:color w:val="FF0000"/>
        </w:rPr>
        <w:t>X</w:t>
      </w:r>
      <w:r>
        <w:rPr>
          <w:b/>
          <w:bCs/>
        </w:rPr>
        <w:t xml:space="preserve">, </w:t>
      </w:r>
      <w:r>
        <w:rPr>
          <w:b/>
          <w:bCs/>
          <w:color w:val="FF0000"/>
        </w:rPr>
        <w:t xml:space="preserve">Y </w:t>
      </w:r>
      <w:r>
        <w:rPr>
          <w:b/>
          <w:bCs/>
        </w:rPr>
        <w:t xml:space="preserve">and </w:t>
      </w:r>
      <w:r>
        <w:rPr>
          <w:b/>
          <w:bCs/>
          <w:color w:val="FF0000"/>
        </w:rPr>
        <w:t xml:space="preserve">Z </w:t>
      </w:r>
      <w:r>
        <w:rPr>
          <w:b/>
          <w:bCs/>
        </w:rPr>
        <w:t>above and requests the State party to provide detailed information in its next periodic report on the concrete measures taken to implement those recommendations.</w:t>
      </w:r>
    </w:p>
    <w:p w:rsidR="00352883" w:rsidRDefault="00B5154D">
      <w:pPr>
        <w:pStyle w:val="H23G"/>
      </w:pPr>
      <w:r>
        <w:tab/>
      </w:r>
      <w:r>
        <w:tab/>
        <w:t>Preparation of the next periodic report</w:t>
      </w:r>
    </w:p>
    <w:p w:rsidR="00352883" w:rsidRDefault="00B5154D">
      <w:pPr>
        <w:pStyle w:val="SingleTxtG"/>
        <w:rPr>
          <w:b/>
          <w:bCs/>
        </w:rPr>
      </w:pPr>
      <w:r>
        <w:t>38.</w:t>
      </w:r>
      <w:r>
        <w:rPr>
          <w:color w:val="FF0000"/>
        </w:rPr>
        <w:tab/>
      </w:r>
      <w:r>
        <w:rPr>
          <w:b/>
          <w:bCs/>
        </w:rPr>
        <w:t xml:space="preserve">The Committee recommends that the State party submit its </w:t>
      </w:r>
      <w:r>
        <w:rPr>
          <w:b/>
          <w:bCs/>
          <w:color w:val="FF0000"/>
        </w:rPr>
        <w:t>[combined number periodic] [number periodic]</w:t>
      </w:r>
      <w:r>
        <w:rPr>
          <w:b/>
          <w:bCs/>
        </w:rPr>
        <w:t xml:space="preserve"> periodic report</w:t>
      </w:r>
      <w:r>
        <w:rPr>
          <w:b/>
          <w:bCs/>
          <w:color w:val="FF0000"/>
        </w:rPr>
        <w:t>s</w:t>
      </w:r>
      <w:r>
        <w:rPr>
          <w:b/>
          <w:bCs/>
        </w:rPr>
        <w:t xml:space="preserve">, as a single document, by </w:t>
      </w:r>
      <w:r>
        <w:rPr>
          <w:b/>
          <w:bCs/>
          <w:color w:val="FF0000"/>
        </w:rPr>
        <w:t>date</w:t>
      </w:r>
      <w:r>
        <w:rPr>
          <w:b/>
          <w:bCs/>
        </w:rPr>
        <w:t xml:space="preserve">, taking into account the reporting guidelines adopted by the Committee during its seventy-first session (CERD/C/2007/1) and addressing all the points raised in the present concluding observations. In the light of General Assembly resolution 68/268, the Committee urges the State party to observe the limit of 21,200 words for periodic reports </w:t>
      </w:r>
      <w:r>
        <w:rPr>
          <w:b/>
          <w:bCs/>
          <w:color w:val="FF0000"/>
        </w:rPr>
        <w:t>[and 42,400 words for the common core document]</w:t>
      </w:r>
      <w:r>
        <w:rPr>
          <w:b/>
          <w:bCs/>
        </w:rPr>
        <w:t>.</w:t>
      </w:r>
    </w:p>
    <w:p w:rsidR="00352883" w:rsidRDefault="00B5154D" w:rsidP="00BC5B74">
      <w:pPr>
        <w:pStyle w:val="SingleTxtG"/>
        <w:spacing w:before="240" w:after="0"/>
        <w:jc w:val="center"/>
      </w:pPr>
      <w:r>
        <w:rPr>
          <w:u w:val="single"/>
        </w:rPr>
        <w:tab/>
      </w:r>
      <w:r>
        <w:rPr>
          <w:u w:val="single"/>
        </w:rPr>
        <w:tab/>
      </w:r>
      <w:r>
        <w:rPr>
          <w:u w:val="single"/>
        </w:rPr>
        <w:tab/>
      </w:r>
    </w:p>
    <w:sectPr w:rsidR="00352883">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883" w:rsidRDefault="00352883"/>
  </w:endnote>
  <w:endnote w:type="continuationSeparator" w:id="0">
    <w:p w:rsidR="00352883" w:rsidRDefault="00352883">
      <w:pPr>
        <w:pStyle w:val="Piedepgina"/>
      </w:pPr>
    </w:p>
  </w:endnote>
  <w:endnote w:type="continuationNotice" w:id="1">
    <w:p w:rsidR="00352883" w:rsidRDefault="003528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83" w:rsidRDefault="00B5154D">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462D84">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83" w:rsidRDefault="00B5154D">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sidR="00462D84">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83" w:rsidRDefault="00B5154D">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352883">
      <w:tc>
        <w:tcPr>
          <w:tcW w:w="1848" w:type="dxa"/>
          <w:vAlign w:val="bottom"/>
        </w:tcPr>
        <w:p w:rsidR="00352883" w:rsidRDefault="00B5154D">
          <w:pPr>
            <w:pStyle w:val="Piedepgina"/>
            <w:spacing w:before="120" w:after="120"/>
            <w:jc w:val="right"/>
          </w:pPr>
          <w:r>
            <w:rPr>
              <w:noProof/>
              <w:sz w:val="20"/>
              <w:lang w:val="fr-CH" w:eastAsia="fr-CH"/>
            </w:rPr>
            <w:drawing>
              <wp:inline distT="0" distB="0" distL="0" distR="0">
                <wp:extent cx="931545" cy="232410"/>
                <wp:effectExtent l="0" t="0" r="1905" b="0"/>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352883" w:rsidRDefault="00352883">
          <w:pPr>
            <w:pStyle w:val="Piedepgina"/>
            <w:jc w:val="right"/>
          </w:pPr>
        </w:p>
      </w:tc>
    </w:tr>
  </w:tbl>
  <w:p w:rsidR="00352883" w:rsidRDefault="00B5154D">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883" w:rsidRDefault="00B5154D">
      <w:pPr>
        <w:pStyle w:val="Piedepgina"/>
        <w:tabs>
          <w:tab w:val="right" w:pos="2155"/>
        </w:tabs>
        <w:spacing w:after="80" w:line="240" w:lineRule="atLeast"/>
        <w:ind w:left="680"/>
        <w:rPr>
          <w:u w:val="single"/>
        </w:rPr>
      </w:pPr>
      <w:r>
        <w:rPr>
          <w:u w:val="single"/>
        </w:rPr>
        <w:tab/>
      </w:r>
    </w:p>
  </w:footnote>
  <w:footnote w:type="continuationSeparator" w:id="0">
    <w:p w:rsidR="00352883" w:rsidRDefault="00B5154D">
      <w:pPr>
        <w:pStyle w:val="Piedepgina"/>
        <w:tabs>
          <w:tab w:val="right" w:pos="2155"/>
        </w:tabs>
        <w:spacing w:after="80" w:line="240" w:lineRule="atLeast"/>
        <w:ind w:left="680"/>
        <w:rPr>
          <w:u w:val="single"/>
        </w:rPr>
      </w:pPr>
      <w:r>
        <w:rPr>
          <w:u w:val="single"/>
        </w:rPr>
        <w:tab/>
      </w:r>
    </w:p>
  </w:footnote>
  <w:footnote w:type="continuationNotice" w:id="1">
    <w:p w:rsidR="00352883" w:rsidRDefault="00352883">
      <w:pPr>
        <w:rPr>
          <w:sz w:val="2"/>
          <w:szCs w:val="2"/>
        </w:rPr>
      </w:pPr>
    </w:p>
  </w:footnote>
  <w:footnote w:id="2">
    <w:p w:rsidR="00352883" w:rsidRDefault="00B5154D">
      <w:pPr>
        <w:pStyle w:val="Textonotapie"/>
      </w:pPr>
      <w:r>
        <w:tab/>
      </w:r>
      <w:r>
        <w:rPr>
          <w:rStyle w:val="Refdenotaalpie"/>
          <w:sz w:val="20"/>
          <w:vertAlign w:val="baseline"/>
        </w:rPr>
        <w:t>*</w:t>
      </w:r>
      <w:r>
        <w:tab/>
        <w:t xml:space="preserve">Adopted by the Committee at its </w:t>
      </w:r>
      <w:r w:rsidR="00BC5B74" w:rsidRPr="00BC5B74">
        <w:rPr>
          <w:color w:val="FF0000"/>
        </w:rPr>
        <w:t>[</w:t>
      </w:r>
      <w:r>
        <w:rPr>
          <w:color w:val="FF0000"/>
        </w:rPr>
        <w:t>number</w:t>
      </w:r>
      <w:r w:rsidR="00BC5B74">
        <w:rPr>
          <w:color w:val="FF0000"/>
        </w:rPr>
        <w:t>]</w:t>
      </w:r>
      <w:r>
        <w:rPr>
          <w:color w:val="FF0000"/>
        </w:rPr>
        <w:t xml:space="preserve">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83" w:rsidRDefault="00B5154D">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83" w:rsidRDefault="00B5154D">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883" w:rsidRDefault="00352883">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7782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83"/>
    <w:rsid w:val="00352883"/>
    <w:rsid w:val="00462D84"/>
    <w:rsid w:val="00B5154D"/>
    <w:rsid w:val="00BC5B74"/>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suppressAutoHyphens w:val="0"/>
      <w:spacing w:before="240" w:after="120" w:line="240" w:lineRule="exact"/>
      <w:ind w:left="1134" w:right="1134" w:hanging="1134"/>
    </w:pPr>
    <w:rPr>
      <w:rFonts w:eastAsiaTheme="minorEastAsia"/>
      <w:b/>
      <w:lang w:val="fr-CH" w:eastAsia="zh-CN"/>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1168</Words>
  <Characters>6427</Characters>
  <Application>Microsoft Office Word</Application>
  <DocSecurity>0</DocSecurity>
  <Lines>53</Lines>
  <Paragraphs>15</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Gloria de la Rosa</cp:lastModifiedBy>
  <cp:revision>8</cp:revision>
  <cp:lastPrinted>2017-10-25T12:09:00Z</cp:lastPrinted>
  <dcterms:created xsi:type="dcterms:W3CDTF">2017-11-02T13:16:00Z</dcterms:created>
  <dcterms:modified xsi:type="dcterms:W3CDTF">2018-06-27T06:45:00Z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