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</w:t>
            </w:r>
            <w:r w:rsidR="006A56A4">
              <w:rPr>
                <w:sz w:val="40"/>
                <w:lang w:val="es-ES"/>
              </w:rPr>
              <w:t>R</w:t>
            </w:r>
            <w:r>
              <w:rPr>
                <w:sz w:val="40"/>
                <w:lang w:val="es-ES"/>
              </w:rPr>
              <w:t>D</w:t>
            </w:r>
            <w:r w:rsidR="00D44142" w:rsidRPr="006A5682">
              <w:t>/</w:t>
            </w:r>
            <w:r w:rsidR="0090408F">
              <w:fldChar w:fldCharType="begin"/>
            </w:r>
            <w:r w:rsidR="0090408F">
              <w:instrText xml:space="preserve"> DOCPROPERTY  sym1  \* MERGEFORMAT </w:instrText>
            </w:r>
            <w:r w:rsidR="0090408F">
              <w:fldChar w:fldCharType="separate"/>
            </w:r>
            <w:r w:rsidR="00F520C6">
              <w:t>sym1</w:t>
            </w:r>
            <w:r w:rsidR="0090408F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2B377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7511D7">
              <w:rPr>
                <w:b/>
                <w:spacing w:val="-4"/>
                <w:sz w:val="34"/>
                <w:szCs w:val="40"/>
              </w:rPr>
              <w:t>Международная конвенция</w:t>
            </w:r>
            <w:r w:rsidRPr="007511D7">
              <w:rPr>
                <w:b/>
                <w:spacing w:val="-4"/>
                <w:sz w:val="34"/>
                <w:szCs w:val="40"/>
              </w:rPr>
              <w:br/>
              <w:t>о ликвидации всех форм</w:t>
            </w:r>
            <w:r w:rsidRPr="007511D7">
              <w:rPr>
                <w:b/>
                <w:spacing w:val="-4"/>
                <w:sz w:val="34"/>
                <w:szCs w:val="40"/>
              </w:rPr>
              <w:br/>
              <w:t>расовой дискриминации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2B3779" w:rsidRPr="00AC293D" w:rsidRDefault="002B3779" w:rsidP="002B3779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AC293D">
        <w:rPr>
          <w:b/>
          <w:bCs/>
          <w:sz w:val="24"/>
          <w:szCs w:val="24"/>
        </w:rPr>
        <w:t xml:space="preserve">Комитет по ликвидации расовой </w:t>
      </w:r>
      <w:r w:rsidRPr="00AC293D">
        <w:rPr>
          <w:b/>
          <w:bCs/>
          <w:sz w:val="24"/>
          <w:szCs w:val="24"/>
        </w:rPr>
        <w:br/>
        <w:t>дискриминации</w:t>
      </w:r>
    </w:p>
    <w:p w:rsidR="008C4BF1" w:rsidRPr="004D388E" w:rsidRDefault="008C4BF1" w:rsidP="008C4BF1">
      <w:pPr>
        <w:pStyle w:val="HChG"/>
      </w:pPr>
      <w:r w:rsidRPr="004D388E">
        <w:tab/>
      </w:r>
      <w:r w:rsidRPr="004D388E">
        <w:tab/>
        <w:t xml:space="preserve">Заключительные замечания по </w:t>
      </w:r>
      <w:r w:rsidRPr="00A75B37">
        <w:rPr>
          <w:color w:val="FF0000"/>
        </w:rPr>
        <w:t xml:space="preserve">[первоначальному] [объединенным номера периодическим] </w:t>
      </w:r>
      <w:r w:rsidRPr="00BD28B5">
        <w:rPr>
          <w:color w:val="FF0000"/>
        </w:rPr>
        <w:t>[номер периодическому]</w:t>
      </w:r>
      <w:r w:rsidRPr="004D388E">
        <w:t xml:space="preserve"> докладу/</w:t>
      </w:r>
      <w:r w:rsidRPr="00A75B37">
        <w:rPr>
          <w:color w:val="FF0000"/>
        </w:rPr>
        <w:t>докладам страны</w:t>
      </w:r>
      <w:r w:rsidRPr="00A75B37">
        <w:rPr>
          <w:b w:val="0"/>
          <w:sz w:val="20"/>
        </w:rPr>
        <w:footnoteReference w:customMarkFollows="1" w:id="1"/>
        <w:t>*</w:t>
      </w:r>
    </w:p>
    <w:p w:rsidR="008C4BF1" w:rsidRPr="004D388E" w:rsidRDefault="008C4BF1" w:rsidP="008C4BF1">
      <w:pPr>
        <w:pStyle w:val="SingleTxtG"/>
      </w:pPr>
      <w:r w:rsidRPr="004D388E">
        <w:t>1.</w:t>
      </w:r>
      <w:r w:rsidRPr="004D388E">
        <w:tab/>
        <w:t xml:space="preserve">Комитет рассмотрел </w:t>
      </w:r>
      <w:r w:rsidRPr="00A75B37">
        <w:rPr>
          <w:color w:val="FF0000"/>
        </w:rPr>
        <w:t>[первоначальный] [объединенные номера периодические] [номер периодический]</w:t>
      </w:r>
      <w:r w:rsidRPr="004D388E">
        <w:t xml:space="preserve"> доклад/</w:t>
      </w:r>
      <w:r w:rsidRPr="00A75B37">
        <w:rPr>
          <w:color w:val="FF0000"/>
        </w:rPr>
        <w:t>доклады страны</w:t>
      </w:r>
      <w:r w:rsidRPr="004D388E">
        <w:t xml:space="preserve"> (CERD/C/</w:t>
      </w:r>
      <w:r w:rsidRPr="00A75B37">
        <w:rPr>
          <w:color w:val="FF0000"/>
        </w:rPr>
        <w:t>XXX</w:t>
      </w:r>
      <w:r w:rsidRPr="004D388E">
        <w:t>/</w:t>
      </w:r>
      <w:r w:rsidRPr="00A75B37">
        <w:rPr>
          <w:color w:val="FF0000"/>
        </w:rPr>
        <w:t>Y</w:t>
      </w:r>
      <w:r w:rsidRPr="004D388E">
        <w:t>)</w:t>
      </w:r>
      <w:r>
        <w:t xml:space="preserve"> </w:t>
      </w:r>
      <w:r w:rsidRPr="00732741">
        <w:rPr>
          <w:color w:val="FF0000"/>
        </w:rPr>
        <w:t>[, представленный/представленные в одном документе,]</w:t>
      </w:r>
      <w:r w:rsidRPr="004D388E">
        <w:t xml:space="preserve"> на своих </w:t>
      </w:r>
      <w:r w:rsidRPr="00732741">
        <w:rPr>
          <w:color w:val="FF0000"/>
        </w:rPr>
        <w:t xml:space="preserve">номер </w:t>
      </w:r>
      <w:r w:rsidRPr="004D388E">
        <w:t xml:space="preserve">и </w:t>
      </w:r>
      <w:r w:rsidRPr="00732741">
        <w:rPr>
          <w:color w:val="FF0000"/>
        </w:rPr>
        <w:t xml:space="preserve">номер </w:t>
      </w:r>
      <w:r w:rsidRPr="004D388E">
        <w:t>заседаниях (см. CERD/C/SR.</w:t>
      </w:r>
      <w:r w:rsidRPr="00732741">
        <w:rPr>
          <w:color w:val="FF0000"/>
        </w:rPr>
        <w:t>XXX</w:t>
      </w:r>
      <w:r w:rsidRPr="004D388E">
        <w:t xml:space="preserve"> и </w:t>
      </w:r>
      <w:r w:rsidRPr="00732741">
        <w:rPr>
          <w:color w:val="FF0000"/>
        </w:rPr>
        <w:t>XXX</w:t>
      </w:r>
      <w:r w:rsidRPr="004D388E">
        <w:t xml:space="preserve">), состоявшихся </w:t>
      </w:r>
      <w:r w:rsidRPr="00732741">
        <w:rPr>
          <w:color w:val="FF0000"/>
        </w:rPr>
        <w:t>даты</w:t>
      </w:r>
      <w:r w:rsidRPr="004D388E">
        <w:t xml:space="preserve">. На своем </w:t>
      </w:r>
      <w:r w:rsidRPr="00732741">
        <w:rPr>
          <w:color w:val="FF0000"/>
        </w:rPr>
        <w:t xml:space="preserve">номер </w:t>
      </w:r>
      <w:r w:rsidRPr="004D388E">
        <w:t xml:space="preserve">заседании, состоявшемся </w:t>
      </w:r>
      <w:r w:rsidRPr="00732741">
        <w:rPr>
          <w:color w:val="FF0000"/>
        </w:rPr>
        <w:t>дата</w:t>
      </w:r>
      <w:r w:rsidRPr="004D388E">
        <w:t>, он принял настоящие заключительные замечания.</w:t>
      </w:r>
    </w:p>
    <w:p w:rsidR="00082D3C" w:rsidRDefault="008C4BF1" w:rsidP="008C4BF1">
      <w:pPr>
        <w:pStyle w:val="H1G"/>
      </w:pPr>
      <w:r w:rsidRPr="009F1AD5">
        <w:tab/>
      </w:r>
      <w:r>
        <w:t>A.</w:t>
      </w:r>
      <w:r>
        <w:tab/>
        <w:t>Введение</w:t>
      </w:r>
    </w:p>
    <w:p w:rsidR="008C4BF1" w:rsidRPr="004D388E" w:rsidRDefault="008C4BF1" w:rsidP="008C4BF1">
      <w:pPr>
        <w:pStyle w:val="SingleTxtG"/>
      </w:pPr>
      <w:r w:rsidRPr="004D388E">
        <w:t>2.</w:t>
      </w:r>
      <w:r w:rsidRPr="004D388E">
        <w:tab/>
        <w:t xml:space="preserve">Комитет приветствует представление </w:t>
      </w:r>
      <w:r w:rsidRPr="004A67EB">
        <w:rPr>
          <w:color w:val="FF0000"/>
        </w:rPr>
        <w:t>[первоначального] [объединенных номера периодических] [номер периодического]</w:t>
      </w:r>
      <w:r w:rsidRPr="004D388E">
        <w:t xml:space="preserve"> доклада/</w:t>
      </w:r>
      <w:r w:rsidRPr="004A67EB">
        <w:rPr>
          <w:color w:val="FF0000"/>
        </w:rPr>
        <w:t xml:space="preserve">докладов </w:t>
      </w:r>
      <w:r w:rsidRPr="004D388E">
        <w:t xml:space="preserve">государства-участника. </w:t>
      </w:r>
      <w:r w:rsidRPr="004A67EB">
        <w:rPr>
          <w:color w:val="FF0000"/>
        </w:rPr>
        <w:t>…</w:t>
      </w:r>
    </w:p>
    <w:p w:rsidR="00082D3C" w:rsidRDefault="008C4BF1" w:rsidP="008C4BF1">
      <w:pPr>
        <w:pStyle w:val="H1G"/>
      </w:pPr>
      <w:r>
        <w:tab/>
      </w:r>
      <w:r w:rsidRPr="004D388E">
        <w:t>B.</w:t>
      </w:r>
      <w:r>
        <w:tab/>
      </w:r>
      <w:r w:rsidRPr="004D388E">
        <w:t xml:space="preserve">Факторы и трудности, препятствующие осуществлению Конвенции </w:t>
      </w:r>
      <w:r w:rsidRPr="0025466F">
        <w:rPr>
          <w:highlight w:val="yellow"/>
        </w:rPr>
        <w:t>[[Включается не всегда]]</w:t>
      </w:r>
    </w:p>
    <w:p w:rsidR="008C4BF1" w:rsidRPr="004D388E" w:rsidRDefault="008C4BF1" w:rsidP="008C4BF1">
      <w:pPr>
        <w:pStyle w:val="H1G"/>
      </w:pPr>
      <w:r w:rsidRPr="00F724E8">
        <w:tab/>
      </w:r>
      <w:r w:rsidRPr="004D388E">
        <w:t>C.</w:t>
      </w:r>
      <w:r w:rsidRPr="004D388E">
        <w:tab/>
        <w:t>Позитивные аспекты</w:t>
      </w:r>
    </w:p>
    <w:p w:rsidR="00082D3C" w:rsidRDefault="008C4BF1" w:rsidP="008C4BF1">
      <w:pPr>
        <w:pStyle w:val="SingleTxtG"/>
      </w:pPr>
      <w:r w:rsidRPr="004D388E">
        <w:t>2.</w:t>
      </w:r>
      <w:r w:rsidRPr="004D388E">
        <w:tab/>
        <w:t xml:space="preserve">Комитет приветствует </w:t>
      </w:r>
      <w:r w:rsidRPr="0025466F">
        <w:rPr>
          <w:color w:val="FF0000"/>
        </w:rPr>
        <w:t>[присоединение] [внесение поправок] [принятие] [ратификацию]</w:t>
      </w:r>
      <w:r w:rsidRPr="004D388E">
        <w:t xml:space="preserve"> государством-участником</w:t>
      </w:r>
      <w:r>
        <w:t xml:space="preserve"> </w:t>
      </w:r>
      <w:r w:rsidRPr="0025466F">
        <w:rPr>
          <w:color w:val="FF0000"/>
        </w:rPr>
        <w:t>[договора] [закона] [в] дата</w:t>
      </w:r>
      <w:r w:rsidRPr="004D388E">
        <w:t>.</w:t>
      </w:r>
    </w:p>
    <w:p w:rsidR="008C4BF1" w:rsidRPr="004D388E" w:rsidRDefault="008C4BF1" w:rsidP="008C4BF1">
      <w:pPr>
        <w:pStyle w:val="SingleTxtG"/>
      </w:pPr>
      <w:r w:rsidRPr="004D388E">
        <w:t>3.</w:t>
      </w:r>
      <w:r w:rsidRPr="004D388E">
        <w:tab/>
        <w:t>Комитет приветствует также ратификацию государством-участником следующих международных договоров по правам человека:</w:t>
      </w:r>
    </w:p>
    <w:p w:rsidR="00082D3C" w:rsidRDefault="008C4BF1" w:rsidP="00082D3C">
      <w:pPr>
        <w:pStyle w:val="SingleTxtG"/>
        <w:ind w:firstLine="567"/>
      </w:pPr>
      <w:r w:rsidRPr="009F1AD5">
        <w:tab/>
      </w:r>
      <w:r w:rsidRPr="004D388E">
        <w:t>а)</w:t>
      </w:r>
      <w:r w:rsidRPr="004D388E">
        <w:tab/>
      </w:r>
      <w:r w:rsidRPr="0025466F">
        <w:rPr>
          <w:color w:val="FF0000"/>
        </w:rPr>
        <w:t>договора [в]</w:t>
      </w:r>
      <w:r>
        <w:rPr>
          <w:color w:val="FF0000"/>
        </w:rPr>
        <w:t xml:space="preserve"> </w:t>
      </w:r>
      <w:r w:rsidRPr="0025466F">
        <w:rPr>
          <w:color w:val="FF0000"/>
        </w:rPr>
        <w:t>дата</w:t>
      </w:r>
      <w:r w:rsidRPr="004D388E">
        <w:t>;</w:t>
      </w:r>
    </w:p>
    <w:p w:rsidR="008C4BF1" w:rsidRPr="004D388E" w:rsidRDefault="008C4BF1" w:rsidP="00082D3C">
      <w:pPr>
        <w:pStyle w:val="SingleTxtG"/>
        <w:ind w:firstLine="567"/>
      </w:pPr>
      <w:r w:rsidRPr="00CB572E">
        <w:tab/>
      </w:r>
      <w:r w:rsidRPr="004D388E">
        <w:t>b)</w:t>
      </w:r>
      <w:r w:rsidRPr="004D388E">
        <w:tab/>
      </w:r>
      <w:r w:rsidRPr="0025466F">
        <w:rPr>
          <w:color w:val="FF0000"/>
        </w:rPr>
        <w:t>договора [в]</w:t>
      </w:r>
      <w:r>
        <w:rPr>
          <w:color w:val="FF0000"/>
        </w:rPr>
        <w:t xml:space="preserve"> </w:t>
      </w:r>
      <w:r w:rsidRPr="0025466F">
        <w:rPr>
          <w:color w:val="FF0000"/>
        </w:rPr>
        <w:t>дата</w:t>
      </w:r>
      <w:r w:rsidRPr="004D388E">
        <w:t>.</w:t>
      </w:r>
    </w:p>
    <w:p w:rsidR="008C4BF1" w:rsidRPr="004D388E" w:rsidRDefault="008C4BF1" w:rsidP="008C4BF1">
      <w:pPr>
        <w:pStyle w:val="SingleTxtG"/>
      </w:pPr>
      <w:r w:rsidRPr="004D388E">
        <w:t>4.</w:t>
      </w:r>
      <w:r w:rsidRPr="004D388E">
        <w:tab/>
        <w:t>Комитет приветству</w:t>
      </w:r>
      <w:bookmarkStart w:id="0" w:name="_GoBack"/>
      <w:bookmarkEnd w:id="0"/>
      <w:r w:rsidRPr="004D388E">
        <w:t xml:space="preserve">ет далее принятые государством-участником следующие законодательные </w:t>
      </w:r>
      <w:r w:rsidRPr="0025466F">
        <w:rPr>
          <w:color w:val="FF0000"/>
        </w:rPr>
        <w:t xml:space="preserve">[и институциональные] [и политические] </w:t>
      </w:r>
      <w:r w:rsidRPr="004D388E">
        <w:t>меры:</w:t>
      </w:r>
    </w:p>
    <w:p w:rsidR="008C4BF1" w:rsidRPr="004D388E" w:rsidRDefault="008C4BF1" w:rsidP="00082D3C">
      <w:pPr>
        <w:pStyle w:val="SingleTxtG"/>
        <w:ind w:firstLine="567"/>
      </w:pPr>
      <w:r w:rsidRPr="00CB572E">
        <w:tab/>
      </w:r>
      <w:r w:rsidRPr="004D388E">
        <w:t>а)</w:t>
      </w:r>
      <w:r w:rsidRPr="004D388E">
        <w:tab/>
      </w:r>
      <w:r w:rsidRPr="0025466F">
        <w:rPr>
          <w:color w:val="FF0000"/>
        </w:rPr>
        <w:t>...</w:t>
      </w:r>
      <w:r w:rsidRPr="004D388E">
        <w:t>;</w:t>
      </w:r>
    </w:p>
    <w:p w:rsidR="008C4BF1" w:rsidRPr="004D388E" w:rsidRDefault="008C4BF1" w:rsidP="00082D3C">
      <w:pPr>
        <w:pStyle w:val="SingleTxtG"/>
        <w:ind w:firstLine="567"/>
      </w:pPr>
      <w:r w:rsidRPr="009F1AD5">
        <w:tab/>
      </w:r>
      <w:r w:rsidR="00082D3C">
        <w:t>b)</w:t>
      </w:r>
      <w:r w:rsidRPr="004D388E">
        <w:tab/>
      </w:r>
      <w:r w:rsidRPr="0025466F">
        <w:rPr>
          <w:color w:val="FF0000"/>
        </w:rPr>
        <w:t>...</w:t>
      </w:r>
      <w:r w:rsidRPr="004D388E">
        <w:t>;</w:t>
      </w:r>
    </w:p>
    <w:p w:rsidR="008C4BF1" w:rsidRPr="004D388E" w:rsidRDefault="008C4BF1" w:rsidP="00082D3C">
      <w:pPr>
        <w:pStyle w:val="SingleTxtG"/>
        <w:ind w:firstLine="567"/>
      </w:pPr>
      <w:r w:rsidRPr="009F1AD5">
        <w:tab/>
      </w:r>
      <w:r w:rsidRPr="004D388E">
        <w:t>c)</w:t>
      </w:r>
      <w:r w:rsidRPr="004D388E">
        <w:tab/>
      </w:r>
      <w:r w:rsidRPr="0025466F">
        <w:rPr>
          <w:color w:val="FF0000"/>
        </w:rPr>
        <w:t>...</w:t>
      </w:r>
      <w:r w:rsidRPr="004D388E">
        <w:t>.</w:t>
      </w:r>
    </w:p>
    <w:p w:rsidR="008C4BF1" w:rsidRPr="004D388E" w:rsidRDefault="008C4BF1" w:rsidP="008C4BF1">
      <w:pPr>
        <w:pStyle w:val="H1G"/>
      </w:pPr>
      <w:r w:rsidRPr="009F1AD5">
        <w:lastRenderedPageBreak/>
        <w:tab/>
      </w:r>
      <w:r w:rsidRPr="004D388E">
        <w:t>D.</w:t>
      </w:r>
      <w:r w:rsidRPr="004D388E">
        <w:tab/>
        <w:t>Вопросы, вызывающи</w:t>
      </w:r>
      <w:r>
        <w:t>е озабоченность, и рекомендации</w:t>
      </w:r>
    </w:p>
    <w:p w:rsidR="008C4BF1" w:rsidRPr="004D388E" w:rsidRDefault="008C4BF1" w:rsidP="008C4BF1">
      <w:pPr>
        <w:pStyle w:val="H23G"/>
      </w:pPr>
      <w:r w:rsidRPr="004D388E">
        <w:tab/>
      </w:r>
      <w:r w:rsidRPr="004D388E">
        <w:tab/>
        <w:t>Сбор данных</w:t>
      </w:r>
    </w:p>
    <w:p w:rsidR="008C4BF1" w:rsidRPr="004D388E" w:rsidRDefault="008C4BF1" w:rsidP="008C4BF1">
      <w:pPr>
        <w:pStyle w:val="H1G"/>
      </w:pPr>
      <w:r w:rsidRPr="009F1AD5">
        <w:tab/>
      </w:r>
      <w:r w:rsidRPr="004D388E">
        <w:t>E.</w:t>
      </w:r>
      <w:r w:rsidRPr="004D388E">
        <w:tab/>
        <w:t>Прочие рекомендации</w:t>
      </w:r>
    </w:p>
    <w:p w:rsidR="008C4BF1" w:rsidRPr="004D388E" w:rsidRDefault="008C4BF1" w:rsidP="008C4BF1">
      <w:pPr>
        <w:pStyle w:val="H23G"/>
      </w:pPr>
      <w:r w:rsidRPr="009F1AD5">
        <w:tab/>
      </w:r>
      <w:r w:rsidRPr="009F1AD5">
        <w:tab/>
      </w:r>
      <w:r w:rsidRPr="004D388E">
        <w:t xml:space="preserve">Ратификация других договоров </w:t>
      </w:r>
      <w:r w:rsidRPr="0025466F">
        <w:rPr>
          <w:highlight w:val="yellow"/>
        </w:rPr>
        <w:t>[[Порядок расположения подзаголовков может варьироваться.]]</w:t>
      </w:r>
    </w:p>
    <w:p w:rsidR="008C4BF1" w:rsidRPr="00B90B18" w:rsidRDefault="008C4BF1" w:rsidP="008C4BF1">
      <w:pPr>
        <w:pStyle w:val="SingleTxtG"/>
        <w:rPr>
          <w:b/>
        </w:rPr>
      </w:pPr>
      <w:r w:rsidRPr="004D388E">
        <w:t>28.</w:t>
      </w:r>
      <w:r w:rsidRPr="004D388E">
        <w:tab/>
      </w:r>
      <w:r w:rsidRPr="00B90B18">
        <w:rPr>
          <w:b/>
        </w:rPr>
        <w:t>Учитывая неделимость всех прав человека, Комитет призывает государство-участник рассмотреть возможность ратификации тех международных договоров по правам человека, которые оно еще не ратифицировало, в</w:t>
      </w:r>
      <w:r>
        <w:rPr>
          <w:b/>
        </w:rPr>
        <w:t> </w:t>
      </w:r>
      <w:r w:rsidRPr="00B90B18">
        <w:rPr>
          <w:b/>
        </w:rPr>
        <w:t xml:space="preserve">частности договоров, положения которых непосредственно касаются общин, которые могут подвергаться расовой дискриминации, в том числе </w:t>
      </w:r>
      <w:r w:rsidRPr="00B90B18">
        <w:rPr>
          <w:b/>
          <w:color w:val="FF0000"/>
        </w:rPr>
        <w:t>[Международной конвенции о защите прав всех трудящихся-мигрантов и членов их семей]</w:t>
      </w:r>
      <w:r>
        <w:rPr>
          <w:b/>
          <w:color w:val="FF0000"/>
        </w:rPr>
        <w:t xml:space="preserve"> </w:t>
      </w:r>
      <w:r w:rsidRPr="00B90B18">
        <w:rPr>
          <w:b/>
          <w:color w:val="FF0000"/>
        </w:rPr>
        <w:t>[Конвенции 2011 года Международной организации труда о достойном труде домашних работников (№ 189)]</w:t>
      </w:r>
      <w:r w:rsidRPr="00B90B18">
        <w:rPr>
          <w:b/>
        </w:rPr>
        <w:t xml:space="preserve"> и </w:t>
      </w:r>
      <w:r w:rsidRPr="00B90B18">
        <w:rPr>
          <w:b/>
          <w:color w:val="FF0000"/>
        </w:rPr>
        <w:t>[других договоров]</w:t>
      </w:r>
      <w:r w:rsidRPr="00B90B18">
        <w:rPr>
          <w:b/>
        </w:rPr>
        <w:t xml:space="preserve">. Комитет призывает государство-участник присоединиться к </w:t>
      </w:r>
      <w:r w:rsidRPr="00B90B18">
        <w:rPr>
          <w:b/>
          <w:color w:val="FF0000"/>
        </w:rPr>
        <w:t xml:space="preserve">[Конвенции о статусе апатридов 1954 года и Конвенции о сокращении </w:t>
      </w:r>
      <w:proofErr w:type="spellStart"/>
      <w:r w:rsidRPr="00B90B18">
        <w:rPr>
          <w:b/>
          <w:color w:val="FF0000"/>
        </w:rPr>
        <w:t>безгражданства</w:t>
      </w:r>
      <w:proofErr w:type="spellEnd"/>
      <w:r w:rsidRPr="00B90B18">
        <w:rPr>
          <w:b/>
          <w:color w:val="FF0000"/>
        </w:rPr>
        <w:t xml:space="preserve"> 1961 года]</w:t>
      </w:r>
      <w:r w:rsidRPr="00B90B18">
        <w:rPr>
          <w:b/>
        </w:rPr>
        <w:t xml:space="preserve">. Наконец, Комитет рекомендует государству-участнику рассмотреть вопрос о ратификации </w:t>
      </w:r>
      <w:r w:rsidRPr="00B90B18">
        <w:rPr>
          <w:b/>
          <w:color w:val="FF0000"/>
        </w:rPr>
        <w:t>[Межамериканской конвенции о борьбе против расизма, расовой дискриминации и связанных с ними форм нетерпимости]</w:t>
      </w:r>
      <w:r w:rsidRPr="00B90B18">
        <w:rPr>
          <w:b/>
        </w:rPr>
        <w:t>.</w:t>
      </w:r>
    </w:p>
    <w:p w:rsidR="008C4BF1" w:rsidRPr="004D388E" w:rsidRDefault="008C4BF1" w:rsidP="008C4BF1">
      <w:pPr>
        <w:pStyle w:val="H23G"/>
      </w:pPr>
      <w:r w:rsidRPr="004D388E">
        <w:tab/>
      </w:r>
      <w:r w:rsidRPr="004D388E">
        <w:tab/>
        <w:t>Поправка к статье 8 Конвенции</w:t>
      </w:r>
    </w:p>
    <w:p w:rsidR="00082D3C" w:rsidRDefault="008C4BF1" w:rsidP="008C4BF1">
      <w:pPr>
        <w:pStyle w:val="SingleTxtG"/>
      </w:pPr>
      <w:r w:rsidRPr="004D388E">
        <w:t>29.</w:t>
      </w:r>
      <w:r w:rsidRPr="004D388E">
        <w:tab/>
      </w:r>
      <w:r w:rsidRPr="00B90B18">
        <w:rPr>
          <w:b/>
        </w:rPr>
        <w:t>Комитет рекомендует государству-участнику ратифицировать поправку к пункту 6 статьи 8 Конвенции, принятую 15 января 1992 года на четырнадцатом совещании государств – участников Конвенции и одобренную Генеральной Ассамблеей в ее резолюции 47/111.</w:t>
      </w:r>
    </w:p>
    <w:p w:rsidR="008C4BF1" w:rsidRPr="004D388E" w:rsidRDefault="008C4BF1" w:rsidP="008C4BF1">
      <w:pPr>
        <w:pStyle w:val="H23G"/>
      </w:pPr>
      <w:r w:rsidRPr="004D388E">
        <w:tab/>
      </w:r>
      <w:r w:rsidRPr="004D388E">
        <w:tab/>
        <w:t>Заявление в соответствии со статьей 14 Конвенции</w:t>
      </w:r>
    </w:p>
    <w:p w:rsidR="008C4BF1" w:rsidRPr="004D388E" w:rsidRDefault="008C4BF1" w:rsidP="008C4BF1">
      <w:pPr>
        <w:pStyle w:val="SingleTxtG"/>
      </w:pPr>
      <w:r w:rsidRPr="004D388E">
        <w:t>30.</w:t>
      </w:r>
      <w:r w:rsidRPr="004D388E">
        <w:tab/>
      </w:r>
      <w:r w:rsidRPr="00B90B18">
        <w:rPr>
          <w:b/>
        </w:rPr>
        <w:t xml:space="preserve">Комитет призывает государство-участник </w:t>
      </w:r>
      <w:r w:rsidRPr="00B90B18">
        <w:rPr>
          <w:b/>
          <w:color w:val="FF0000"/>
        </w:rPr>
        <w:t>[сделать] [рассмотреть возможность того, чтобы сделать]</w:t>
      </w:r>
      <w:r w:rsidRPr="00B90B18">
        <w:rPr>
          <w:b/>
        </w:rPr>
        <w:t xml:space="preserve"> предусмотренное в статье 14 Конвенции факультативное заявление о признании компетенции Комитета принимать и рассматривать индивидуальные жалобы.</w:t>
      </w:r>
    </w:p>
    <w:p w:rsidR="008C4BF1" w:rsidRPr="004D388E" w:rsidRDefault="008C4BF1" w:rsidP="008C4BF1">
      <w:pPr>
        <w:pStyle w:val="H23G"/>
      </w:pPr>
      <w:r w:rsidRPr="004D388E">
        <w:tab/>
      </w:r>
      <w:r w:rsidRPr="004D388E">
        <w:tab/>
        <w:t xml:space="preserve">Последующие меры в связи с </w:t>
      </w:r>
      <w:proofErr w:type="spellStart"/>
      <w:r w:rsidRPr="004D388E">
        <w:t>Дурбанской</w:t>
      </w:r>
      <w:proofErr w:type="spellEnd"/>
      <w:r w:rsidRPr="004D388E">
        <w:t xml:space="preserve"> декларацией и Программой действий</w:t>
      </w:r>
    </w:p>
    <w:p w:rsidR="00082D3C" w:rsidRDefault="008C4BF1" w:rsidP="008C4BF1">
      <w:pPr>
        <w:pStyle w:val="SingleTxtG"/>
        <w:rPr>
          <w:b/>
        </w:rPr>
      </w:pPr>
      <w:r w:rsidRPr="004D388E">
        <w:t>31.</w:t>
      </w:r>
      <w:r w:rsidRPr="004D388E">
        <w:tab/>
      </w:r>
      <w:r w:rsidRPr="00B90B18">
        <w:rPr>
          <w:b/>
        </w:rPr>
        <w:t xml:space="preserve">В свете своей общей рекомендации № 33 (2009) о последующих мерах в связи с Конференцией по обзору </w:t>
      </w:r>
      <w:proofErr w:type="spellStart"/>
      <w:r w:rsidRPr="00B90B18">
        <w:rPr>
          <w:b/>
        </w:rPr>
        <w:t>Дурбанского</w:t>
      </w:r>
      <w:proofErr w:type="spellEnd"/>
      <w:r w:rsidRPr="00B90B18">
        <w:rPr>
          <w:b/>
        </w:rPr>
        <w:t xml:space="preserve"> процесса Комитет рекомендует государству-участнику при осуществлении Конвенции в рамках своего внутреннего законодательства предпринять шаги по выполнению </w:t>
      </w:r>
      <w:proofErr w:type="spellStart"/>
      <w:r w:rsidRPr="00B90B18">
        <w:rPr>
          <w:b/>
        </w:rPr>
        <w:t>Дурбанской</w:t>
      </w:r>
      <w:proofErr w:type="spellEnd"/>
      <w:r w:rsidRPr="00B90B18">
        <w:rPr>
          <w:b/>
        </w:rPr>
        <w:t xml:space="preserve"> декларации и Программы действий, принятой в сентябре 2001 года Всемирной конференцией по борьбе против расизма, расовой дискриминации, ксенофобии и связанной с ними нетерпимости, с учетом итогового документа Конференции по обзору </w:t>
      </w:r>
      <w:proofErr w:type="spellStart"/>
      <w:r w:rsidRPr="00B90B18">
        <w:rPr>
          <w:b/>
        </w:rPr>
        <w:t>Дурбанского</w:t>
      </w:r>
      <w:proofErr w:type="spellEnd"/>
      <w:r w:rsidRPr="00B90B18">
        <w:rPr>
          <w:b/>
        </w:rPr>
        <w:t xml:space="preserve"> процесса, состоявшейся в апреле 2009 года в Женеве. Комитет просит государство-участник включить в его следующий периодический доклад конкретную информацию об утвержденных планах действий и о принятых других мерах с целью осуществления </w:t>
      </w:r>
      <w:proofErr w:type="spellStart"/>
      <w:r w:rsidRPr="00B90B18">
        <w:rPr>
          <w:b/>
        </w:rPr>
        <w:t>Дурбанской</w:t>
      </w:r>
      <w:proofErr w:type="spellEnd"/>
      <w:r w:rsidRPr="00B90B18">
        <w:rPr>
          <w:b/>
        </w:rPr>
        <w:t xml:space="preserve"> декларации и Программы действий на национальном уровне.</w:t>
      </w:r>
    </w:p>
    <w:p w:rsidR="00082D3C" w:rsidRDefault="008C4BF1" w:rsidP="008C4BF1">
      <w:pPr>
        <w:pStyle w:val="H23G"/>
      </w:pPr>
      <w:r w:rsidRPr="004D388E">
        <w:tab/>
      </w:r>
      <w:r w:rsidRPr="004D388E">
        <w:tab/>
        <w:t>Международное десятилетие лиц африканского происхождения</w:t>
      </w:r>
    </w:p>
    <w:p w:rsidR="00082D3C" w:rsidRDefault="008C4BF1" w:rsidP="008C4BF1">
      <w:pPr>
        <w:pStyle w:val="SingleTxtG"/>
      </w:pPr>
      <w:r w:rsidRPr="004D388E">
        <w:t>32.</w:t>
      </w:r>
      <w:r w:rsidRPr="004D388E">
        <w:tab/>
      </w:r>
      <w:r w:rsidRPr="00B90B18">
        <w:rPr>
          <w:b/>
        </w:rPr>
        <w:t xml:space="preserve">В свете резолюции 68/237 Генеральной Ассамблеи о провозглашении периода 2015–2024 годов Международным десятилетием лиц африканского происхождения, а также резолюции 69/16 Генеральной Ассамблеи, касающейся программы мероприятий по проведению этого Десятилетия, Комитет рекомендует государству-участнику разработать и осуществить приемлемую программу соответствующих мер и политику </w:t>
      </w:r>
      <w:r w:rsidRPr="00B90B18">
        <w:rPr>
          <w:b/>
          <w:color w:val="FF0000"/>
        </w:rPr>
        <w:t>[в сотрудничестве с африканскими организациями и народами]</w:t>
      </w:r>
      <w:r w:rsidRPr="00B90B18">
        <w:rPr>
          <w:b/>
        </w:rPr>
        <w:t xml:space="preserve">. Комитет просит государство-участник включить в </w:t>
      </w:r>
      <w:r w:rsidRPr="00B90B18">
        <w:rPr>
          <w:b/>
        </w:rPr>
        <w:lastRenderedPageBreak/>
        <w:t>его следующий доклад точные сведения о принятых им в этой связи конкретных мерах с учетом общей рекомендации № 34 (2011) о расовой дискриминации в отношении лиц африканского происхождения.</w:t>
      </w:r>
    </w:p>
    <w:p w:rsidR="008C4BF1" w:rsidRPr="004D388E" w:rsidRDefault="008C4BF1" w:rsidP="008C4BF1">
      <w:pPr>
        <w:pStyle w:val="H23G"/>
      </w:pPr>
      <w:r w:rsidRPr="004D388E">
        <w:tab/>
      </w:r>
      <w:r w:rsidRPr="004D388E">
        <w:tab/>
        <w:t>Консультации с гражданским обществом</w:t>
      </w:r>
    </w:p>
    <w:p w:rsidR="008C4BF1" w:rsidRPr="004D388E" w:rsidRDefault="008C4BF1" w:rsidP="008C4BF1">
      <w:pPr>
        <w:pStyle w:val="SingleTxtG"/>
      </w:pPr>
      <w:r w:rsidRPr="004D388E">
        <w:t>33.</w:t>
      </w:r>
      <w:r w:rsidRPr="004D388E">
        <w:tab/>
      </w:r>
      <w:r w:rsidRPr="00B90B18">
        <w:rPr>
          <w:b/>
        </w:rPr>
        <w:t>Комитет рекомендует государству-участнику продолжать и расширять диалог с организациями гражданского общества, осуществляющими деятельность в области защиты прав человека, в частности с организациями, ведущими борьбу против расовой дискриминации, в рамках составления следующего периодического доклада и принятия последующих мер по настоящим заключительным замечаниям.</w:t>
      </w:r>
    </w:p>
    <w:p w:rsidR="008C4BF1" w:rsidRPr="004D388E" w:rsidRDefault="008C4BF1" w:rsidP="008C4BF1">
      <w:pPr>
        <w:pStyle w:val="H23G"/>
      </w:pPr>
      <w:r w:rsidRPr="004D388E">
        <w:tab/>
      </w:r>
      <w:r w:rsidRPr="004D388E">
        <w:tab/>
        <w:t>Распространение информации</w:t>
      </w:r>
    </w:p>
    <w:p w:rsidR="008C4BF1" w:rsidRPr="004D388E" w:rsidRDefault="008C4BF1" w:rsidP="008C4BF1">
      <w:pPr>
        <w:pStyle w:val="SingleTxtG"/>
      </w:pPr>
      <w:r w:rsidRPr="004D388E">
        <w:t>34.</w:t>
      </w:r>
      <w:r w:rsidRPr="004D388E">
        <w:tab/>
      </w:r>
      <w:r w:rsidRPr="00B90B18">
        <w:rPr>
          <w:b/>
        </w:rPr>
        <w:t xml:space="preserve">Комитет рекомендует, чтобы доклады государства-участника носили открытый характер и были доступны общественности на момент их представления и чтобы заключительные замечания Комитета по этим докладам также </w:t>
      </w:r>
      <w:r w:rsidRPr="00B90B18">
        <w:rPr>
          <w:b/>
          <w:color w:val="FF0000"/>
        </w:rPr>
        <w:t>[предоставлялись всем государственным органам, занимающимся осуществлением Конвенции, включая муниципалитеты,]</w:t>
      </w:r>
      <w:r w:rsidRPr="00B90B18">
        <w:rPr>
          <w:b/>
        </w:rPr>
        <w:t xml:space="preserve"> </w:t>
      </w:r>
      <w:r w:rsidRPr="00B90B18">
        <w:rPr>
          <w:b/>
          <w:color w:val="FF0000"/>
        </w:rPr>
        <w:t>[и публиковались на веб-сайте Министерства иностранных дел]</w:t>
      </w:r>
      <w:r w:rsidRPr="00B90B18">
        <w:rPr>
          <w:b/>
        </w:rPr>
        <w:t xml:space="preserve"> на официальных языках, а при необходимости – и на других широко используемых языках.</w:t>
      </w:r>
    </w:p>
    <w:p w:rsidR="008C4BF1" w:rsidRPr="004D388E" w:rsidRDefault="008C4BF1" w:rsidP="008C4BF1">
      <w:pPr>
        <w:pStyle w:val="H23G"/>
      </w:pPr>
      <w:r w:rsidRPr="004D388E">
        <w:tab/>
      </w:r>
      <w:r w:rsidRPr="004D388E">
        <w:tab/>
        <w:t>Общий базовый документ</w:t>
      </w:r>
    </w:p>
    <w:p w:rsidR="008C4BF1" w:rsidRPr="00B90B18" w:rsidRDefault="008C4BF1" w:rsidP="008C4BF1">
      <w:pPr>
        <w:pStyle w:val="SingleTxtG"/>
        <w:rPr>
          <w:b/>
        </w:rPr>
      </w:pPr>
      <w:r w:rsidRPr="004D388E">
        <w:t>35.</w:t>
      </w:r>
      <w:r w:rsidRPr="004D388E">
        <w:tab/>
      </w:r>
      <w:r w:rsidRPr="00B90B18">
        <w:rPr>
          <w:b/>
        </w:rPr>
        <w:t xml:space="preserve">Комитет призывает государство-участник обновить свой общий базовый документ </w:t>
      </w:r>
      <w:r w:rsidRPr="00B90B18">
        <w:rPr>
          <w:b/>
          <w:color w:val="FF0000"/>
        </w:rPr>
        <w:t>[от ХХХХ года]</w:t>
      </w:r>
      <w:r w:rsidRPr="00B90B18">
        <w:rPr>
          <w:b/>
        </w:rPr>
        <w:t xml:space="preserve"> в соответствии с согласованными руководящими принципами представления докладов согласно международным договорам о правах человека, в частности руководящими принципами подготовки общего базового документа, принятыми на пятом </w:t>
      </w:r>
      <w:proofErr w:type="spellStart"/>
      <w:r w:rsidRPr="00B90B18">
        <w:rPr>
          <w:b/>
        </w:rPr>
        <w:t>межкомитетском</w:t>
      </w:r>
      <w:proofErr w:type="spellEnd"/>
      <w:r w:rsidRPr="00B90B18">
        <w:rPr>
          <w:b/>
        </w:rPr>
        <w:t xml:space="preserve"> совещании договорных органов по правам человека в июне 2006 года (HRI/GEN/2/Rev.6, глава I). В свете резолюции 68/268 Генеральной Ассамблеи Комитет настоятельно призывает государство-участник соблюдать установленное для объема таких документов ограничение в 42 400 слов.</w:t>
      </w:r>
    </w:p>
    <w:p w:rsidR="008C4BF1" w:rsidRPr="004D388E" w:rsidRDefault="008C4BF1" w:rsidP="008C4BF1">
      <w:pPr>
        <w:pStyle w:val="H23G"/>
      </w:pPr>
      <w:r w:rsidRPr="004D388E">
        <w:tab/>
      </w:r>
      <w:r w:rsidRPr="004D388E">
        <w:tab/>
        <w:t>Последующие меры по выполнению настоящих заключительных замечаний</w:t>
      </w:r>
    </w:p>
    <w:p w:rsidR="008C4BF1" w:rsidRPr="00F73601" w:rsidRDefault="008C4BF1" w:rsidP="008C4BF1">
      <w:pPr>
        <w:pStyle w:val="SingleTxtG"/>
        <w:rPr>
          <w:b/>
        </w:rPr>
      </w:pPr>
      <w:r w:rsidRPr="004D388E">
        <w:t>36.</w:t>
      </w:r>
      <w:r w:rsidRPr="004D388E">
        <w:tab/>
      </w:r>
      <w:r w:rsidRPr="00F73601">
        <w:rPr>
          <w:b/>
        </w:rPr>
        <w:t xml:space="preserve">В соответствии с пунктом 1 статьи 9 Конвенции и правилом 65 своих правил процедуры Комитет просит государство-участник представить в течение одного года после принятия настоящих заключительных замечаний информацию о выполнении им рекомендаций, содержащихся в пунктах </w:t>
      </w:r>
      <w:r w:rsidRPr="00F73601">
        <w:rPr>
          <w:b/>
          <w:color w:val="FF0000"/>
        </w:rPr>
        <w:t>X</w:t>
      </w:r>
      <w:r w:rsidRPr="00F73601">
        <w:rPr>
          <w:b/>
        </w:rPr>
        <w:t xml:space="preserve">, </w:t>
      </w:r>
      <w:r w:rsidRPr="00F73601">
        <w:rPr>
          <w:b/>
          <w:color w:val="FF0000"/>
        </w:rPr>
        <w:t>Y</w:t>
      </w:r>
      <w:r w:rsidRPr="00F73601">
        <w:rPr>
          <w:b/>
        </w:rPr>
        <w:t xml:space="preserve"> и </w:t>
      </w:r>
      <w:r w:rsidRPr="00F73601">
        <w:rPr>
          <w:b/>
          <w:color w:val="FF0000"/>
        </w:rPr>
        <w:t>Z</w:t>
      </w:r>
      <w:r w:rsidRPr="00F73601">
        <w:rPr>
          <w:b/>
        </w:rPr>
        <w:t xml:space="preserve"> выше.</w:t>
      </w:r>
    </w:p>
    <w:p w:rsidR="008C4BF1" w:rsidRPr="004D388E" w:rsidRDefault="008C4BF1" w:rsidP="008C4BF1">
      <w:pPr>
        <w:pStyle w:val="H23G"/>
      </w:pPr>
      <w:r w:rsidRPr="004D388E">
        <w:tab/>
      </w:r>
      <w:r w:rsidRPr="004D388E">
        <w:tab/>
        <w:t>Пункты, имеющие особое значение</w:t>
      </w:r>
    </w:p>
    <w:p w:rsidR="008C4BF1" w:rsidRPr="00F73601" w:rsidRDefault="008C4BF1" w:rsidP="008C4BF1">
      <w:pPr>
        <w:pStyle w:val="SingleTxtG"/>
        <w:rPr>
          <w:b/>
        </w:rPr>
      </w:pPr>
      <w:r w:rsidRPr="004D388E">
        <w:t>37.</w:t>
      </w:r>
      <w:r w:rsidRPr="004D388E">
        <w:tab/>
      </w:r>
      <w:r w:rsidRPr="00F73601">
        <w:rPr>
          <w:b/>
        </w:rPr>
        <w:t xml:space="preserve">Комитет хотел бы обратить внимание государства-участника на особое значение рекомендаций, содержащихся в пунктах </w:t>
      </w:r>
      <w:r w:rsidRPr="00F73601">
        <w:rPr>
          <w:b/>
          <w:color w:val="FF0000"/>
        </w:rPr>
        <w:t>X</w:t>
      </w:r>
      <w:r w:rsidRPr="00F73601">
        <w:rPr>
          <w:b/>
        </w:rPr>
        <w:t xml:space="preserve">, </w:t>
      </w:r>
      <w:r w:rsidRPr="00F73601">
        <w:rPr>
          <w:b/>
          <w:color w:val="FF0000"/>
        </w:rPr>
        <w:t>Y</w:t>
      </w:r>
      <w:r w:rsidRPr="00F73601">
        <w:rPr>
          <w:b/>
        </w:rPr>
        <w:t xml:space="preserve"> и </w:t>
      </w:r>
      <w:r w:rsidRPr="00F73601">
        <w:rPr>
          <w:b/>
          <w:color w:val="FF0000"/>
        </w:rPr>
        <w:t>Z</w:t>
      </w:r>
      <w:r w:rsidRPr="00F73601">
        <w:rPr>
          <w:b/>
        </w:rPr>
        <w:t xml:space="preserve"> выше, и просит государство-участник представить в своем следующем периодическом докладе подробную информацию о конкретных мерах, принятых с целью выполнения этих рекомендаций.</w:t>
      </w:r>
    </w:p>
    <w:p w:rsidR="008C4BF1" w:rsidRPr="008052D6" w:rsidRDefault="008C4BF1" w:rsidP="008C4BF1">
      <w:pPr>
        <w:pStyle w:val="H23G"/>
      </w:pPr>
      <w:r w:rsidRPr="004D388E">
        <w:tab/>
      </w:r>
      <w:r w:rsidRPr="004D388E">
        <w:tab/>
        <w:t>Подготовка следующего периодического доклада</w:t>
      </w:r>
    </w:p>
    <w:p w:rsidR="008C4BF1" w:rsidRDefault="008C4BF1" w:rsidP="008C4BF1">
      <w:pPr>
        <w:pStyle w:val="SingleTxtG"/>
      </w:pPr>
      <w:r>
        <w:t>38.</w:t>
      </w:r>
      <w:r>
        <w:tab/>
      </w:r>
      <w:r w:rsidRPr="00F73601">
        <w:rPr>
          <w:b/>
        </w:rPr>
        <w:t xml:space="preserve">Комитет рекомендует государству-участнику представить не позднее </w:t>
      </w:r>
      <w:r w:rsidRPr="00F73601">
        <w:rPr>
          <w:b/>
          <w:color w:val="FF0000"/>
        </w:rPr>
        <w:t xml:space="preserve">дата </w:t>
      </w:r>
      <w:r w:rsidRPr="00F73601">
        <w:rPr>
          <w:b/>
        </w:rPr>
        <w:t xml:space="preserve">его </w:t>
      </w:r>
      <w:r w:rsidRPr="00F73601">
        <w:rPr>
          <w:b/>
          <w:color w:val="FF0000"/>
        </w:rPr>
        <w:t xml:space="preserve">[объединенные номера периодические] [номер периодический] </w:t>
      </w:r>
      <w:r w:rsidRPr="00F73601">
        <w:rPr>
          <w:b/>
        </w:rPr>
        <w:t>доклад/</w:t>
      </w:r>
      <w:r w:rsidRPr="00F73601">
        <w:rPr>
          <w:b/>
          <w:color w:val="FF0000"/>
        </w:rPr>
        <w:t>доклады</w:t>
      </w:r>
      <w:r w:rsidRPr="00F73601">
        <w:rPr>
          <w:b/>
        </w:rPr>
        <w:t>, подготовленные с учетом руководящих принципов подготовки документов по данной Конвенции, принятых Комитетом на его семьдесят первой сессии (CERD/C/2007/1), и охватывающие все вопросы, затронутые в настоящих заключительных замечаниях. В свете резолюции</w:t>
      </w:r>
      <w:r>
        <w:rPr>
          <w:b/>
        </w:rPr>
        <w:t> </w:t>
      </w:r>
      <w:r w:rsidRPr="00F73601">
        <w:rPr>
          <w:b/>
        </w:rPr>
        <w:t xml:space="preserve">68/268 Генеральной Ассамблеи Комитет настоятельно призывает государство-участник соблюдать установленное для объема периодических докладов ограничение в 21 200 слов </w:t>
      </w:r>
      <w:r w:rsidRPr="00F73601">
        <w:rPr>
          <w:b/>
          <w:color w:val="FF0000"/>
        </w:rPr>
        <w:t>[и ограничение в 42 400 слов для общего базового документа]</w:t>
      </w:r>
      <w:r w:rsidRPr="00F73601">
        <w:rPr>
          <w:b/>
        </w:rPr>
        <w:t>.</w:t>
      </w:r>
    </w:p>
    <w:p w:rsidR="002B3779" w:rsidRPr="008C4BF1" w:rsidRDefault="0090408F" w:rsidP="0090408F">
      <w:pPr>
        <w:pStyle w:val="SingleTxtG"/>
        <w:spacing w:before="240" w:after="0"/>
        <w:jc w:val="center"/>
      </w:pPr>
      <w:r>
        <w:rPr>
          <w:u w:val="single"/>
        </w:rPr>
        <w:lastRenderedPageBreak/>
        <w:tab/>
      </w:r>
      <w:r w:rsidR="008C4BF1">
        <w:rPr>
          <w:u w:val="single"/>
        </w:rPr>
        <w:tab/>
      </w:r>
      <w:r w:rsidR="008C4BF1">
        <w:rPr>
          <w:u w:val="single"/>
        </w:rPr>
        <w:tab/>
      </w:r>
      <w:r w:rsidR="008C4BF1">
        <w:rPr>
          <w:u w:val="single"/>
        </w:rPr>
        <w:tab/>
      </w:r>
    </w:p>
    <w:sectPr w:rsidR="002B3779" w:rsidRPr="008C4BF1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0408F">
      <w:rPr>
        <w:b/>
        <w:noProof/>
        <w:sz w:val="18"/>
      </w:rPr>
      <w:t>4</w:t>
    </w:r>
    <w:r w:rsidRPr="000132BF">
      <w:rPr>
        <w:b/>
        <w:sz w:val="18"/>
      </w:rPr>
      <w:fldChar w:fldCharType="end"/>
    </w:r>
    <w:r w:rsidRPr="000132BF">
      <w:tab/>
    </w:r>
    <w:r w:rsidR="0090408F">
      <w:fldChar w:fldCharType="begin"/>
    </w:r>
    <w:r w:rsidR="0090408F">
      <w:instrText xml:space="preserve"> DOCPROPERTY  gdocf  \* MERGEFORMAT </w:instrText>
    </w:r>
    <w:r w:rsidR="0090408F">
      <w:fldChar w:fldCharType="separate"/>
    </w:r>
    <w:proofErr w:type="spellStart"/>
    <w:r w:rsidR="00F520C6">
      <w:t>gdocf</w:t>
    </w:r>
    <w:proofErr w:type="spellEnd"/>
    <w:r w:rsidR="0090408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0408F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C4BF1" w:rsidRPr="008052D6" w:rsidRDefault="008C4BF1" w:rsidP="008C4BF1">
      <w:pPr>
        <w:pStyle w:val="Notedebasdepage"/>
        <w:rPr>
          <w:lang w:val="ru-RU"/>
        </w:rPr>
      </w:pPr>
      <w:r>
        <w:rPr>
          <w:lang w:val="ru-RU"/>
        </w:rPr>
        <w:tab/>
      </w:r>
      <w:r w:rsidRPr="0025466F">
        <w:rPr>
          <w:sz w:val="20"/>
          <w:lang w:val="ru-RU"/>
        </w:rPr>
        <w:t>*</w:t>
      </w:r>
      <w:r>
        <w:rPr>
          <w:lang w:val="ru-RU"/>
        </w:rPr>
        <w:tab/>
        <w:t xml:space="preserve">Приняты Комитетом на его </w:t>
      </w:r>
      <w:r w:rsidR="0090408F" w:rsidRPr="0090408F">
        <w:rPr>
          <w:color w:val="FF0000"/>
          <w:lang w:val="fr-CH"/>
        </w:rPr>
        <w:t>[</w:t>
      </w:r>
      <w:r w:rsidRPr="0025466F">
        <w:rPr>
          <w:color w:val="FF0000"/>
          <w:lang w:val="ru-RU"/>
        </w:rPr>
        <w:t>номер</w:t>
      </w:r>
      <w:r w:rsidR="0090408F">
        <w:rPr>
          <w:color w:val="FF0000"/>
          <w:lang w:val="fr-CH"/>
        </w:rPr>
        <w:t>]</w:t>
      </w:r>
      <w:r w:rsidRPr="0025466F">
        <w:rPr>
          <w:color w:val="FF0000"/>
          <w:lang w:val="ru-RU"/>
        </w:rPr>
        <w:t xml:space="preserve"> </w:t>
      </w:r>
      <w:r>
        <w:rPr>
          <w:lang w:val="ru-RU"/>
        </w:rPr>
        <w:t>сессии (</w:t>
      </w:r>
      <w:r w:rsidRPr="0025466F">
        <w:rPr>
          <w:color w:val="FF0000"/>
          <w:lang w:val="ru-RU"/>
        </w:rPr>
        <w:t>даты</w:t>
      </w:r>
      <w:r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0408F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0408F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2552A"/>
    <w:rsid w:val="00033EE1"/>
    <w:rsid w:val="00041407"/>
    <w:rsid w:val="00042B72"/>
    <w:rsid w:val="000558BD"/>
    <w:rsid w:val="000814CD"/>
    <w:rsid w:val="00082D3C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B082A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5F3E03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6445C"/>
    <w:rsid w:val="00894693"/>
    <w:rsid w:val="008A08D7"/>
    <w:rsid w:val="008B6909"/>
    <w:rsid w:val="008C4BF1"/>
    <w:rsid w:val="0090408F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1917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,"/>
  <w:listSeparator w:val=";"/>
  <w14:docId w14:val="45DDD0E9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4B082A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4B082A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4B082A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4B082A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4B082A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4B082A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4B082A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4B082A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4B082A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4B082A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4B082A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4B082A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4B082A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4B082A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4B082A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4B082A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4B082A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4B082A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4B082A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4B082A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4B082A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4B082A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4B082A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4B082A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4B082A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4B082A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4B082A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4B082A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4B082A"/>
  </w:style>
  <w:style w:type="character" w:customStyle="1" w:styleId="NotedefinCar">
    <w:name w:val="Note de fin Car"/>
    <w:aliases w:val="2_G Car"/>
    <w:basedOn w:val="Policepardfaut"/>
    <w:link w:val="Notedefin"/>
    <w:rsid w:val="004B082A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4B082A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4B082A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4B082A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CCA3B-D6CD-4831-965D-F6FAEABC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898</Words>
  <Characters>6971</Characters>
  <Application>Microsoft Office Word</Application>
  <DocSecurity>0</DocSecurity>
  <Lines>58</Lines>
  <Paragraphs>15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2018-05-17T13:36:00Z</dcterms:created>
  <dcterms:modified xsi:type="dcterms:W3CDTF">2018-06-19T08:53:00Z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