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A53B98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A53B98" w:rsidRPr="00686999" w:rsidRDefault="00A53B98" w:rsidP="00A53B98">
      <w:pPr>
        <w:pStyle w:val="SingleTxtGA"/>
        <w:spacing w:before="120" w:after="0"/>
        <w:ind w:left="0" w:right="3969"/>
        <w:jc w:val="left"/>
        <w:rPr>
          <w:b/>
          <w:bCs/>
          <w:sz w:val="26"/>
          <w:szCs w:val="36"/>
          <w:rtl/>
          <w:lang w:eastAsia="zh-TW"/>
        </w:rPr>
      </w:pPr>
      <w:r w:rsidRPr="00686999">
        <w:rPr>
          <w:b/>
          <w:bCs/>
          <w:sz w:val="26"/>
          <w:szCs w:val="36"/>
          <w:rtl/>
          <w:cs/>
          <w:lang w:eastAsia="zh-TW"/>
        </w:rPr>
        <w:t>اللجنة المعنية بالحقوق الاقتصادية والاجتماعية والثقافية‏‏</w:t>
      </w:r>
      <w:r w:rsidRPr="00686999">
        <w:rPr>
          <w:rFonts w:cs="Times New Roman" w:hint="cs"/>
          <w:b/>
          <w:bCs/>
          <w:sz w:val="26"/>
          <w:szCs w:val="36"/>
          <w:rtl/>
          <w:cs/>
          <w:lang w:eastAsia="zh-TW"/>
        </w:rPr>
        <w:t>‬</w:t>
      </w:r>
      <w:r w:rsidRPr="00686999">
        <w:rPr>
          <w:b/>
          <w:bCs/>
          <w:sz w:val="26"/>
          <w:szCs w:val="36"/>
        </w:rPr>
        <w:t>‬</w:t>
      </w:r>
      <w:r w:rsidRPr="00686999">
        <w:rPr>
          <w:b/>
          <w:bCs/>
          <w:sz w:val="26"/>
          <w:szCs w:val="36"/>
        </w:rPr>
        <w:t>‬</w:t>
      </w:r>
      <w:r w:rsidRPr="00686999">
        <w:rPr>
          <w:b/>
          <w:bCs/>
          <w:sz w:val="26"/>
          <w:szCs w:val="36"/>
        </w:rPr>
        <w:t>‬</w:t>
      </w:r>
      <w:r>
        <w:t>‬</w:t>
      </w:r>
      <w:r>
        <w:t>‬</w:t>
      </w:r>
      <w:r>
        <w:t>‬</w:t>
      </w:r>
    </w:p>
    <w:p w:rsidR="00A53B98" w:rsidRPr="00A53B98" w:rsidRDefault="00A53B98" w:rsidP="00A53B98">
      <w:pPr>
        <w:pStyle w:val="HChGA"/>
        <w:keepNext w:val="0"/>
        <w:spacing w:before="240"/>
        <w:rPr>
          <w:rtl/>
        </w:rPr>
      </w:pPr>
      <w:r>
        <w:rPr>
          <w:lang w:eastAsia="zh-TW"/>
        </w:rPr>
        <w:tab/>
      </w:r>
      <w:r>
        <w:rPr>
          <w:lang w:eastAsia="zh-TW"/>
        </w:rPr>
        <w:tab/>
      </w:r>
      <w:r w:rsidRPr="00DB0D75">
        <w:rPr>
          <w:rtl/>
          <w:lang w:eastAsia="zh-TW"/>
        </w:rPr>
        <w:t>قائمة المسائل المتصلة بالتقرير</w:t>
      </w:r>
      <w:r>
        <w:rPr>
          <w:rtl/>
          <w:lang w:eastAsia="zh-TW"/>
        </w:rPr>
        <w:t xml:space="preserve"> </w:t>
      </w:r>
      <w:r w:rsidRPr="00930734">
        <w:rPr>
          <w:color w:val="FF0000"/>
          <w:rtl/>
          <w:lang w:eastAsia="zh-TW"/>
        </w:rPr>
        <w:t>[الأولي] [الجامع للتقارير الدورية [الرقم]] [الدوري [الرقم]]</w:t>
      </w:r>
      <w:r>
        <w:rPr>
          <w:rtl/>
          <w:lang w:eastAsia="zh-TW"/>
        </w:rPr>
        <w:t xml:space="preserve"> </w:t>
      </w:r>
      <w:r>
        <w:rPr>
          <w:rFonts w:hint="cs"/>
          <w:rtl/>
          <w:lang w:eastAsia="zh-TW"/>
        </w:rPr>
        <w:t>ل‍‍</w:t>
      </w:r>
      <w:r>
        <w:rPr>
          <w:rtl/>
          <w:lang w:eastAsia="zh-TW"/>
        </w:rPr>
        <w:t xml:space="preserve"> </w:t>
      </w:r>
      <w:r w:rsidRPr="00930734">
        <w:rPr>
          <w:color w:val="FF0000"/>
          <w:rtl/>
          <w:lang w:eastAsia="zh-TW"/>
        </w:rPr>
        <w:t>[البلد]</w:t>
      </w:r>
      <w:r w:rsidRPr="00686999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  <w:bookmarkStart w:id="0" w:name="_GoBack"/>
    </w:p>
    <w:bookmarkEnd w:id="0"/>
    <w:p w:rsidR="00A53B98" w:rsidRPr="00DB0D75" w:rsidRDefault="00A53B98" w:rsidP="00A53B98">
      <w:pPr>
        <w:pStyle w:val="HChGA"/>
        <w:keepNext w:val="0"/>
        <w:spacing w:before="240" w:after="200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أولاً-</w:t>
      </w:r>
      <w:r>
        <w:rPr>
          <w:rFonts w:hint="cs"/>
          <w:rtl/>
          <w:lang w:eastAsia="zh-TW"/>
        </w:rPr>
        <w:tab/>
      </w:r>
      <w:dir w:val="rtl">
        <w:r w:rsidRPr="00DB0D75">
          <w:rPr>
            <w:rtl/>
            <w:lang w:eastAsia="zh-TW"/>
          </w:rPr>
          <w:t>معلومات عامة</w:t>
        </w:r>
        <w:r w:rsidRPr="00DB0D75">
          <w:rPr>
            <w:rFonts w:cs="Times New Roman" w:hint="cs"/>
            <w:rtl/>
            <w:lang w:eastAsia="zh-TW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DB0D75" w:rsidRDefault="00A53B98" w:rsidP="00A53B98">
      <w:pPr>
        <w:pStyle w:val="HChGA"/>
        <w:keepNext w:val="0"/>
        <w:spacing w:before="240" w:after="200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ثانياً-</w:t>
      </w: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المسائل المتعلقة بالأحكام العامة للعهد (المواد 1-5)</w:t>
      </w:r>
      <w:r>
        <w:rPr>
          <w:rtl/>
          <w:lang w:eastAsia="zh-TW"/>
        </w:rPr>
        <w:t xml:space="preserve"> 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حرية التصرف بالثروات والموارد الطبيعية (المادة 1(2))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>
          <w:rPr>
            <w:rtl/>
          </w:rPr>
          <w:t>استخدام</w:t>
        </w:r>
        <w:r w:rsidRPr="004230F2">
          <w:rPr>
            <w:rtl/>
          </w:rPr>
          <w:t xml:space="preserve"> أقصى الموارد المتاحة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2(1))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عدم التمييز (المادة 2(2))</w:t>
      </w:r>
      <w:r w:rsidRPr="004230F2">
        <w:rPr>
          <w:rFonts w:cs="Times New Roman" w:hint="cs"/>
          <w:rtl/>
        </w:rPr>
        <w:t>‬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المساواة في الحقوق بين الرجل والمرأة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3)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ChGA"/>
        <w:keepNext w:val="0"/>
        <w:spacing w:before="240" w:after="200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4230F2">
        <w:rPr>
          <w:rtl/>
          <w:lang w:eastAsia="zh-TW"/>
        </w:rPr>
        <w:t>ثالثاً-</w:t>
      </w:r>
      <w:r>
        <w:rPr>
          <w:rFonts w:hint="cs"/>
          <w:rtl/>
          <w:lang w:eastAsia="zh-TW"/>
        </w:rPr>
        <w:tab/>
      </w:r>
      <w:r w:rsidRPr="004230F2">
        <w:rPr>
          <w:rtl/>
          <w:lang w:eastAsia="zh-TW"/>
        </w:rPr>
        <w:t>المسائل المتعلقة بأحكام بعينها من العهد (المواد 6-15)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العمل (المادة 6)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التمتع بشروط عمل عادلة ومواتية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>
          <w:rPr>
            <w:rFonts w:ascii="Traditional Arabic" w:hAnsi="Traditional Arabic" w:hint="cs"/>
            <w:rtl/>
          </w:rPr>
          <w:t xml:space="preserve"> </w:t>
        </w:r>
        <w:r w:rsidRPr="004230F2">
          <w:rPr>
            <w:rtl/>
          </w:rPr>
          <w:t>7)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الحقوق النقابية (المادة 8)</w:t>
        </w:r>
        <w:r w:rsidRPr="004230F2">
          <w:rPr>
            <w:rFonts w:cs="Times New Roman" w:hint="cs"/>
            <w:rtl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الضمان الاجتماعي (المادة ٩)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حماية الأسرة والأطفال (المادة ١٠)</w:t>
      </w: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مستوى معيشي كاف (المادة 11)</w:t>
        </w:r>
        <w:r w:rsidRPr="004230F2">
          <w:rPr>
            <w:rFonts w:cs="Times New Roman" w:hint="cs"/>
            <w:rtl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الصحة الجسمية والعقلية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12)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A53B98" w:rsidRPr="004230F2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التعليم (المادتان 13 و14)</w:t>
      </w:r>
    </w:p>
    <w:p w:rsidR="00A53B98" w:rsidRDefault="00A53B98" w:rsidP="00A53B98">
      <w:pPr>
        <w:pStyle w:val="H23GA"/>
        <w:keepNext w:val="0"/>
        <w:spacing w:before="120" w:after="0" w:line="360" w:lineRule="exac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الحقوق الثقافية (المادة 15)</w:t>
      </w:r>
    </w:p>
    <w:p w:rsidR="00A53B98" w:rsidRPr="00686999" w:rsidRDefault="00A53B98" w:rsidP="00A53B98">
      <w:pPr>
        <w:pStyle w:val="SingleTxtGA"/>
        <w:jc w:val="center"/>
        <w:rPr>
          <w:u w:val="single"/>
          <w:rtl/>
          <w:lang w:eastAsia="ar-SA"/>
        </w:rPr>
      </w:pPr>
      <w:r>
        <w:rPr>
          <w:rFonts w:hint="cs"/>
          <w:u w:val="single"/>
          <w:rtl/>
          <w:lang w:eastAsia="ar-SA"/>
        </w:rPr>
        <w:tab/>
      </w:r>
      <w:r>
        <w:rPr>
          <w:rFonts w:hint="cs"/>
          <w:u w:val="single"/>
          <w:rtl/>
          <w:lang w:eastAsia="ar-SA"/>
        </w:rPr>
        <w:tab/>
      </w:r>
      <w:r>
        <w:rPr>
          <w:rFonts w:hint="cs"/>
          <w:u w:val="single"/>
          <w:rtl/>
          <w:lang w:eastAsia="ar-SA"/>
        </w:rPr>
        <w:tab/>
      </w:r>
    </w:p>
    <w:sectPr w:rsidR="00A53B98" w:rsidRPr="00686999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53B98" w:rsidRPr="00686999" w:rsidRDefault="00A53B98" w:rsidP="00A53B98">
      <w:pPr>
        <w:pStyle w:val="FootnoteText1"/>
      </w:pPr>
      <w:r>
        <w:rPr>
          <w:rtl/>
        </w:rPr>
        <w:t>*</w:t>
      </w:r>
      <w:r>
        <w:rPr>
          <w:rtl/>
        </w:rPr>
        <w:tab/>
      </w:r>
      <w:r>
        <w:rPr>
          <w:rtl/>
          <w:lang w:eastAsia="zh-TW"/>
        </w:rPr>
        <w:t xml:space="preserve">اعتمدها الفريق العامل لما قبل الدورة في دورته </w:t>
      </w:r>
      <w:r w:rsidRPr="000659F9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(</w:t>
      </w:r>
      <w:r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>).</w:t>
      </w:r>
      <w:r>
        <w:t>‬</w:t>
      </w:r>
      <w:r>
        <w:t>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18C8D-29F9-455B-BD8D-06E338B2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24</cp:revision>
  <cp:lastPrinted>2016-06-21T10:29:00Z</cp:lastPrinted>
  <dcterms:created xsi:type="dcterms:W3CDTF">2018-06-22T08:39:00Z</dcterms:created>
  <dcterms:modified xsi:type="dcterms:W3CDTF">2018-06-25T06:16:00Z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