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3043A4">
            <w:pPr>
              <w:spacing w:after="20"/>
              <w:jc w:val="right"/>
            </w:pPr>
            <w:r>
              <w:rPr>
                <w:sz w:val="40"/>
                <w:lang w:val="es-ES"/>
              </w:rPr>
              <w:t>E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3043A4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Экономический и Социальный Совет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2427F1" w:rsidRPr="00AC4024" w:rsidRDefault="002427F1" w:rsidP="002427F1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AC4024">
        <w:rPr>
          <w:b/>
          <w:bCs/>
          <w:sz w:val="24"/>
          <w:szCs w:val="24"/>
        </w:rPr>
        <w:t xml:space="preserve">Комитет по экономическим, социальным </w:t>
      </w:r>
      <w:r w:rsidRPr="00AC4024">
        <w:rPr>
          <w:b/>
          <w:bCs/>
          <w:sz w:val="24"/>
          <w:szCs w:val="24"/>
        </w:rPr>
        <w:br/>
        <w:t>и культурным правам</w:t>
      </w:r>
    </w:p>
    <w:p w:rsidR="00205F30" w:rsidRPr="00FE6F1B" w:rsidRDefault="00205F30" w:rsidP="00205F30">
      <w:pPr>
        <w:pStyle w:val="HChG"/>
      </w:pPr>
      <w:r w:rsidRPr="00FE6F1B">
        <w:tab/>
      </w:r>
      <w:r w:rsidRPr="00FE6F1B">
        <w:tab/>
        <w:t xml:space="preserve">Перечень вопросов в связи с </w:t>
      </w:r>
      <w:r w:rsidRPr="00806416">
        <w:rPr>
          <w:color w:val="FF0000"/>
        </w:rPr>
        <w:t xml:space="preserve">[первоначальным] [номер периодическим] [объединенными номера периодическими] </w:t>
      </w:r>
      <w:r w:rsidRPr="00FE6F1B">
        <w:t>докладом/</w:t>
      </w:r>
      <w:r w:rsidRPr="00806416">
        <w:rPr>
          <w:color w:val="FF0000"/>
        </w:rPr>
        <w:t>докладами страны</w:t>
      </w:r>
      <w:r w:rsidRPr="00452B17">
        <w:rPr>
          <w:rStyle w:val="Appelnotedebasdep"/>
          <w:b w:val="0"/>
          <w:spacing w:val="5"/>
          <w:w w:val="104"/>
          <w:sz w:val="20"/>
          <w:vertAlign w:val="baseline"/>
        </w:rPr>
        <w:footnoteReference w:customMarkFollows="1" w:id="1"/>
        <w:t>*</w:t>
      </w:r>
    </w:p>
    <w:p w:rsidR="00205F30" w:rsidRPr="00FE6F1B" w:rsidRDefault="00205F30" w:rsidP="00205F30">
      <w:pPr>
        <w:pStyle w:val="HChG"/>
      </w:pPr>
      <w:r>
        <w:tab/>
      </w:r>
      <w:r w:rsidRPr="00FE6F1B">
        <w:t>I.</w:t>
      </w:r>
      <w:r w:rsidRPr="00FE6F1B">
        <w:tab/>
        <w:t>Общая информация</w:t>
      </w:r>
    </w:p>
    <w:p w:rsidR="00205F30" w:rsidRPr="00FE6F1B" w:rsidRDefault="00205F30" w:rsidP="00205F30">
      <w:pPr>
        <w:pStyle w:val="HChG"/>
      </w:pPr>
      <w:r>
        <w:tab/>
        <w:t>II.</w:t>
      </w:r>
      <w:r>
        <w:tab/>
      </w:r>
      <w:r w:rsidRPr="00FE6F1B">
        <w:t>Вопросы, касающиес</w:t>
      </w:r>
      <w:r w:rsidR="00185579">
        <w:t>я общих положений Пакта (статьи</w:t>
      </w:r>
      <w:r w:rsidR="00185579">
        <w:rPr>
          <w:lang w:val="es-ES"/>
        </w:rPr>
        <w:t> </w:t>
      </w:r>
      <w:r w:rsidRPr="00FE6F1B">
        <w:t>1–5)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Право свободно распоряжаться природными богатствами и ресурсами (статья 1, пункт 2)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Максимальные пределы имеющихся ресурсов (статья 2, пункт 1)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proofErr w:type="spellStart"/>
      <w:r w:rsidR="00205F30" w:rsidRPr="00FE6F1B">
        <w:t>Недискриминация</w:t>
      </w:r>
      <w:proofErr w:type="spellEnd"/>
      <w:r w:rsidR="00205F30" w:rsidRPr="00FE6F1B">
        <w:t xml:space="preserve"> (статья 2, пункт 2)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Равные права мужчин и женщин (статья 3)</w:t>
      </w:r>
    </w:p>
    <w:p w:rsidR="00205F30" w:rsidRPr="00FE6F1B" w:rsidRDefault="00205F30" w:rsidP="00205F30">
      <w:pPr>
        <w:pStyle w:val="HChG"/>
      </w:pPr>
      <w:r>
        <w:tab/>
        <w:t>III.</w:t>
      </w:r>
      <w:r>
        <w:tab/>
      </w:r>
      <w:r w:rsidRPr="00FE6F1B">
        <w:t>Вопросы, касающиеся конкретных положений Пакта (статьи 6–15)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Право на труд (статья 6)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Право на справедливые и благоприятные условия труда (статья 7)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Профсоюзные права (статья 8)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Право на социальное обеспечение (статья 9)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Защита семьи и детей (статья 10)</w:t>
      </w:r>
    </w:p>
    <w:p w:rsidR="00205F30" w:rsidRPr="00FE6F1B" w:rsidRDefault="008C697F" w:rsidP="008C697F">
      <w:pPr>
        <w:pStyle w:val="H23G"/>
        <w:keepNext w:val="0"/>
        <w:keepLines w:val="0"/>
      </w:pPr>
      <w:r>
        <w:tab/>
      </w:r>
      <w:r>
        <w:tab/>
      </w:r>
      <w:r w:rsidR="00205F30" w:rsidRPr="00FE6F1B">
        <w:t>Пр</w:t>
      </w:r>
      <w:bookmarkStart w:id="0" w:name="_GoBack"/>
      <w:bookmarkEnd w:id="0"/>
      <w:r w:rsidR="00205F30" w:rsidRPr="00FE6F1B">
        <w:t>аво на достаточный жизненный уровень (статья 11)</w:t>
      </w:r>
    </w:p>
    <w:p w:rsidR="00205F30" w:rsidRPr="00FE6F1B" w:rsidRDefault="008C697F" w:rsidP="008C697F">
      <w:pPr>
        <w:pStyle w:val="H23G"/>
      </w:pPr>
      <w:r>
        <w:lastRenderedPageBreak/>
        <w:tab/>
      </w:r>
      <w:r>
        <w:tab/>
      </w:r>
      <w:r w:rsidR="00205F30" w:rsidRPr="00FE6F1B">
        <w:t>Право на физическое и психическое здоровье (статья 12)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Право на образование (статьи 13–14)</w:t>
      </w:r>
    </w:p>
    <w:p w:rsidR="00205F30" w:rsidRPr="00FE6F1B" w:rsidRDefault="008C697F" w:rsidP="008C697F">
      <w:pPr>
        <w:pStyle w:val="H23G"/>
      </w:pPr>
      <w:r>
        <w:tab/>
      </w:r>
      <w:r>
        <w:tab/>
      </w:r>
      <w:r w:rsidR="00205F30" w:rsidRPr="00FE6F1B">
        <w:t>Культурные права (статья 15)</w:t>
      </w:r>
    </w:p>
    <w:p w:rsidR="002B3779" w:rsidRPr="00AD2C65" w:rsidRDefault="00205F30" w:rsidP="00F9425C">
      <w:pPr>
        <w:pStyle w:val="SingleTxtG"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9425C">
        <w:rPr>
          <w:u w:val="single"/>
        </w:rPr>
        <w:tab/>
      </w:r>
    </w:p>
    <w:sectPr w:rsidR="002B3779" w:rsidRPr="00AD2C6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C697F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F9425C">
      <w:fldChar w:fldCharType="begin"/>
    </w:r>
    <w:r w:rsidR="00F9425C">
      <w:instrText xml:space="preserve"> DOCPROPERTY  gdocf  \* MERGEFORMAT </w:instrText>
    </w:r>
    <w:r w:rsidR="00F9425C">
      <w:fldChar w:fldCharType="separate"/>
    </w:r>
    <w:proofErr w:type="spellStart"/>
    <w:r w:rsidR="00F520C6">
      <w:t>gdocf</w:t>
    </w:r>
    <w:proofErr w:type="spellEnd"/>
    <w:r w:rsidR="00F9425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9425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05F30" w:rsidRPr="00ED65A3" w:rsidRDefault="00205F30" w:rsidP="00205F30">
      <w:pPr>
        <w:pStyle w:val="Notedebasdepage"/>
        <w:rPr>
          <w:sz w:val="20"/>
          <w:lang w:val="ru-RU"/>
        </w:rPr>
      </w:pPr>
      <w:r>
        <w:tab/>
      </w:r>
      <w:r w:rsidRPr="00205F30">
        <w:rPr>
          <w:rStyle w:val="Appelnotedebasdep"/>
          <w:sz w:val="20"/>
          <w:vertAlign w:val="baseline"/>
          <w:lang w:val="ru-RU"/>
        </w:rPr>
        <w:t>*</w:t>
      </w:r>
      <w:r w:rsidRPr="00F9425C">
        <w:rPr>
          <w:rStyle w:val="Appelnotedebasdep"/>
          <w:vertAlign w:val="baseline"/>
          <w:lang w:val="ru-RU"/>
        </w:rPr>
        <w:tab/>
      </w:r>
      <w:r w:rsidRPr="008B7FBE">
        <w:rPr>
          <w:lang w:val="ru-RU"/>
        </w:rPr>
        <w:t xml:space="preserve">Принят </w:t>
      </w:r>
      <w:proofErr w:type="spellStart"/>
      <w:r w:rsidRPr="008B7FBE">
        <w:rPr>
          <w:lang w:val="ru-RU"/>
        </w:rPr>
        <w:t>предсессионной</w:t>
      </w:r>
      <w:proofErr w:type="spellEnd"/>
      <w:r w:rsidRPr="008B7FBE">
        <w:rPr>
          <w:lang w:val="ru-RU"/>
        </w:rPr>
        <w:t xml:space="preserve"> рабочей группой на ее </w:t>
      </w:r>
      <w:r w:rsidR="00F9425C" w:rsidRPr="00F9425C">
        <w:rPr>
          <w:color w:val="FF0000"/>
          <w:lang w:val="fr-CH"/>
        </w:rPr>
        <w:t>[</w:t>
      </w:r>
      <w:r w:rsidRPr="008B7FBE">
        <w:rPr>
          <w:color w:val="FF0000"/>
          <w:lang w:val="ru-RU"/>
        </w:rPr>
        <w:t>номер</w:t>
      </w:r>
      <w:r w:rsidR="00F9425C">
        <w:rPr>
          <w:color w:val="FF0000"/>
          <w:lang w:val="fr-CH"/>
        </w:rPr>
        <w:t>]</w:t>
      </w:r>
      <w:r w:rsidRPr="008B7FBE">
        <w:rPr>
          <w:color w:val="FF0000"/>
          <w:lang w:val="ru-RU"/>
        </w:rPr>
        <w:t xml:space="preserve"> </w:t>
      </w:r>
      <w:r w:rsidRPr="008B7FBE">
        <w:rPr>
          <w:lang w:val="ru-RU"/>
        </w:rPr>
        <w:t>сессии (</w:t>
      </w:r>
      <w:r w:rsidRPr="008B7FBE">
        <w:rPr>
          <w:color w:val="FF0000"/>
          <w:lang w:val="ru-RU"/>
        </w:rPr>
        <w:t>даты</w:t>
      </w:r>
      <w:r w:rsidRPr="008B7FBE"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9425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9425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5579"/>
    <w:rsid w:val="0018649F"/>
    <w:rsid w:val="00196389"/>
    <w:rsid w:val="001B3EF6"/>
    <w:rsid w:val="001C7A89"/>
    <w:rsid w:val="00205F30"/>
    <w:rsid w:val="00207121"/>
    <w:rsid w:val="002206E3"/>
    <w:rsid w:val="002427F1"/>
    <w:rsid w:val="002A2EFC"/>
    <w:rsid w:val="002B3779"/>
    <w:rsid w:val="002C0E18"/>
    <w:rsid w:val="002D2A87"/>
    <w:rsid w:val="002D525E"/>
    <w:rsid w:val="002D5AAC"/>
    <w:rsid w:val="002E5067"/>
    <w:rsid w:val="002F405F"/>
    <w:rsid w:val="002F7EEC"/>
    <w:rsid w:val="00301299"/>
    <w:rsid w:val="003043A4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2B17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8C697F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425C"/>
    <w:rsid w:val="00F9783F"/>
    <w:rsid w:val="00FC1EE0"/>
    <w:rsid w:val="00FD2EF7"/>
    <w:rsid w:val="00FD44CB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001EFC95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44CB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FD44CB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FD44CB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FD44CB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FD44CB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FD44C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FD44CB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FD44C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FD44CB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FD44CB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FD44C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FD44CB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FD44C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FD44CB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FD44CB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FD44CB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FD44CB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FD44CB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FD44CB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FD44CB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FD44CB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FD44CB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FD44CB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FD44CB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FD44CB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FD44CB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FD44CB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FD44CB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FD44CB"/>
  </w:style>
  <w:style w:type="character" w:customStyle="1" w:styleId="NotedefinCar">
    <w:name w:val="Note de fin Car"/>
    <w:aliases w:val="2_G Car"/>
    <w:basedOn w:val="Policepardfaut"/>
    <w:link w:val="Notedefin"/>
    <w:rsid w:val="00FD44CB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FD44CB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FD44CB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FD44CB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1FFA7-009A-4CEC-8041-C1718CF6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1164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9</cp:revision>
  <cp:lastPrinted>2017-07-04T10:34:00Z</cp:lastPrinted>
  <dcterms:created xsi:type="dcterms:W3CDTF">2018-05-18T10:03:00Z</dcterms:created>
  <dcterms:modified xsi:type="dcterms:W3CDTF">2018-06-19T09:12:00Z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