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630627" w:rsidP="009E1133">
            <w:pPr>
              <w:bidi w:val="0"/>
              <w:spacing w:after="20"/>
              <w:jc w:val="left"/>
              <w:rPr>
                <w:szCs w:val="20"/>
                <w:lang w:val="fr-FR"/>
              </w:rPr>
            </w:pPr>
            <w:r w:rsidRPr="004559FF">
              <w:rPr>
                <w:sz w:val="40"/>
                <w:szCs w:val="20"/>
              </w:rPr>
              <w:t>E</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56723">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9E1133" w:rsidRPr="00630627" w:rsidTr="00C51057">
        <w:trPr>
          <w:trHeight w:hRule="exact" w:val="2835"/>
        </w:trPr>
        <w:tc>
          <w:tcPr>
            <w:tcW w:w="1286" w:type="dxa"/>
            <w:tcBorders>
              <w:top w:val="nil"/>
              <w:bottom w:val="single" w:sz="12" w:space="0" w:color="auto"/>
            </w:tcBorders>
          </w:tcPr>
          <w:p w:rsidR="009E1133" w:rsidRPr="00DB7679" w:rsidRDefault="00DB2C04" w:rsidP="009E1133">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49.25pt" o:allowincell="f" o:allowoverlap="f">
                  <v:imagedata r:id="rId8" o:title=""/>
                </v:shape>
              </w:pict>
            </w:r>
          </w:p>
        </w:tc>
        <w:tc>
          <w:tcPr>
            <w:tcW w:w="4767" w:type="dxa"/>
            <w:tcBorders>
              <w:top w:val="nil"/>
              <w:bottom w:val="single" w:sz="12" w:space="0" w:color="auto"/>
            </w:tcBorders>
          </w:tcPr>
          <w:p w:rsidR="009E1133" w:rsidRPr="008930DB" w:rsidRDefault="009E1133" w:rsidP="009E1133">
            <w:pPr>
              <w:spacing w:before="120" w:after="40" w:line="640" w:lineRule="exact"/>
              <w:jc w:val="left"/>
              <w:rPr>
                <w:b/>
                <w:bCs/>
                <w:sz w:val="56"/>
                <w:szCs w:val="56"/>
              </w:rPr>
            </w:pPr>
            <w:r w:rsidRPr="008930DB">
              <w:rPr>
                <w:rFonts w:hint="cs"/>
                <w:b/>
                <w:bCs/>
                <w:sz w:val="56"/>
                <w:szCs w:val="56"/>
                <w:rtl/>
              </w:rPr>
              <w:t>المجلس الاقتصادي والاجتماعي</w:t>
            </w:r>
          </w:p>
        </w:tc>
        <w:tc>
          <w:tcPr>
            <w:tcW w:w="3598" w:type="dxa"/>
            <w:tcBorders>
              <w:top w:val="nil"/>
              <w:bottom w:val="single" w:sz="12" w:space="0" w:color="auto"/>
            </w:tcBorders>
          </w:tcPr>
          <w:p w:rsidR="009E1133" w:rsidRPr="000C196E" w:rsidRDefault="009E1133" w:rsidP="009E1133">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proofErr w:type="spellStart"/>
            <w:r w:rsidRPr="000C196E">
              <w:rPr>
                <w:lang w:val="fr-CH"/>
              </w:rPr>
              <w:t>dist</w:t>
            </w:r>
            <w:proofErr w:type="spellEnd"/>
            <w:r w:rsidRPr="00E71938">
              <w:fldChar w:fldCharType="end"/>
            </w:r>
          </w:p>
          <w:p w:rsidR="009E1133" w:rsidRPr="000C196E" w:rsidRDefault="009E1133" w:rsidP="009E1133">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Pr="000C196E">
              <w:rPr>
                <w:lang w:val="fr-CH"/>
              </w:rPr>
              <w:t>date</w:t>
            </w:r>
            <w:r>
              <w:fldChar w:fldCharType="end"/>
            </w:r>
          </w:p>
          <w:p w:rsidR="009E1133" w:rsidRPr="000C196E" w:rsidRDefault="009E1133" w:rsidP="009E1133">
            <w:pPr>
              <w:bidi w:val="0"/>
              <w:jc w:val="left"/>
              <w:rPr>
                <w:lang w:val="fr-CH"/>
              </w:rPr>
            </w:pPr>
            <w:r>
              <w:fldChar w:fldCharType="begin"/>
            </w:r>
            <w:r w:rsidRPr="000C196E">
              <w:rPr>
                <w:lang w:val="fr-CH"/>
              </w:rPr>
              <w:instrText xml:space="preserve"> DOCPROPERTY  tlang  \* MERGEFORMAT </w:instrText>
            </w:r>
            <w:r>
              <w:fldChar w:fldCharType="separate"/>
            </w:r>
            <w:proofErr w:type="spellStart"/>
            <w:r w:rsidRPr="000C196E">
              <w:rPr>
                <w:lang w:val="fr-CH"/>
              </w:rPr>
              <w:t>tlang</w:t>
            </w:r>
            <w:proofErr w:type="spellEnd"/>
            <w:r>
              <w:fldChar w:fldCharType="end"/>
            </w:r>
          </w:p>
          <w:p w:rsidR="009E1133" w:rsidRPr="000C196E" w:rsidRDefault="009E1133" w:rsidP="009E1133">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proofErr w:type="spellStart"/>
            <w:r w:rsidRPr="000C196E">
              <w:rPr>
                <w:lang w:val="fr-CH"/>
              </w:rPr>
              <w:t>olang</w:t>
            </w:r>
            <w:proofErr w:type="spellEnd"/>
            <w:r>
              <w:fldChar w:fldCharType="end"/>
            </w:r>
          </w:p>
          <w:p w:rsidR="009E1133" w:rsidRPr="00024732" w:rsidRDefault="009E1133" w:rsidP="009E1133">
            <w:pPr>
              <w:bidi w:val="0"/>
              <w:jc w:val="left"/>
              <w:rPr>
                <w:lang w:val="fr-CH"/>
              </w:rPr>
            </w:pPr>
            <w:r>
              <w:fldChar w:fldCharType="begin"/>
            </w:r>
            <w:r w:rsidRPr="00024732">
              <w:rPr>
                <w:lang w:val="fr-CH"/>
              </w:rPr>
              <w:instrText xml:space="preserve"> DOCPROPERTY  virs  \* MERGEFORMAT </w:instrText>
            </w:r>
            <w:r>
              <w:fldChar w:fldCharType="separate"/>
            </w:r>
            <w:proofErr w:type="spellStart"/>
            <w:r w:rsidRPr="00024732">
              <w:rPr>
                <w:lang w:val="fr-CH"/>
              </w:rPr>
              <w:t>virs</w:t>
            </w:r>
            <w:proofErr w:type="spellEnd"/>
            <w:r>
              <w:fldChar w:fldCharType="end"/>
            </w:r>
          </w:p>
        </w:tc>
      </w:tr>
    </w:tbl>
    <w:p w:rsidR="00DB2C04" w:rsidRPr="00CF2366" w:rsidRDefault="00DB2C04" w:rsidP="00DB2C04">
      <w:pPr>
        <w:pStyle w:val="SingleTxtGA"/>
        <w:spacing w:before="120" w:after="0"/>
        <w:ind w:left="0" w:right="3969"/>
        <w:jc w:val="left"/>
        <w:rPr>
          <w:b/>
          <w:bCs/>
          <w:sz w:val="26"/>
          <w:szCs w:val="36"/>
          <w:rtl/>
          <w:lang w:eastAsia="zh-TW"/>
        </w:rPr>
      </w:pPr>
      <w:r w:rsidRPr="00CF2366">
        <w:rPr>
          <w:b/>
          <w:bCs/>
          <w:sz w:val="26"/>
          <w:szCs w:val="36"/>
          <w:rtl/>
          <w:cs/>
          <w:lang w:eastAsia="zh-TW"/>
        </w:rPr>
        <w:t>اللجنة المعنية بالحقوق الاقتصادية والاجتماعية والثقافية</w:t>
      </w:r>
    </w:p>
    <w:p w:rsidR="00DB2C04" w:rsidRDefault="00DB2C04" w:rsidP="00DB2C04">
      <w:pPr>
        <w:pStyle w:val="HChGA"/>
        <w:rPr>
          <w:sz w:val="20"/>
          <w:rtl/>
          <w:lang w:eastAsia="zh-TW"/>
        </w:rPr>
      </w:pPr>
      <w:r>
        <w:rPr>
          <w:rFonts w:hint="cs"/>
          <w:rtl/>
          <w:lang w:eastAsia="zh-TW"/>
        </w:rPr>
        <w:tab/>
      </w:r>
      <w:r>
        <w:rPr>
          <w:rFonts w:hint="cs"/>
          <w:rtl/>
          <w:lang w:eastAsia="zh-TW"/>
        </w:rPr>
        <w:tab/>
      </w:r>
      <w:r w:rsidRPr="00930734">
        <w:rPr>
          <w:rtl/>
          <w:lang w:eastAsia="zh-TW"/>
        </w:rPr>
        <w:t>الملاحظات الختامية بشأن</w:t>
      </w:r>
      <w:r>
        <w:rPr>
          <w:rtl/>
          <w:lang w:eastAsia="zh-TW"/>
        </w:rPr>
        <w:t xml:space="preserve"> التقرير</w:t>
      </w:r>
      <w:r>
        <w:rPr>
          <w:rFonts w:hint="cs"/>
          <w:rtl/>
          <w:lang w:eastAsia="zh-TW"/>
        </w:rPr>
        <w:t xml:space="preserve"> </w:t>
      </w:r>
      <w:r w:rsidRPr="00CF2366">
        <w:rPr>
          <w:rFonts w:ascii="Times New Roman Bold" w:hAnsi="Times New Roman Bold"/>
          <w:color w:val="FF0000"/>
          <w:rtl/>
          <w:lang w:eastAsia="zh-TW"/>
        </w:rPr>
        <w:t>[الأولي] [الجامع للتقارير الدورية [الرقم]] [الدوري [الرقم]]</w:t>
      </w:r>
      <w:r w:rsidRPr="00AE531F">
        <w:rPr>
          <w:rFonts w:ascii="Times New Roman Bold" w:hAnsi="Times New Roman Bold" w:hint="cs"/>
          <w:rtl/>
          <w:lang w:eastAsia="zh-TW"/>
        </w:rPr>
        <w:t xml:space="preserve"> ل‍ </w:t>
      </w:r>
      <w:r w:rsidRPr="00CF2366">
        <w:rPr>
          <w:rFonts w:ascii="Times New Roman Bold" w:hAnsi="Times New Roman Bold"/>
          <w:color w:val="FF0000"/>
          <w:rtl/>
          <w:lang w:eastAsia="zh-TW"/>
        </w:rPr>
        <w:t>[البلد]</w:t>
      </w:r>
      <w:r w:rsidRPr="00CF2366">
        <w:rPr>
          <w:rStyle w:val="Appelnotedebasdep"/>
          <w:sz w:val="20"/>
          <w:vertAlign w:val="baseline"/>
          <w:rtl/>
          <w:lang w:eastAsia="zh-TW"/>
        </w:rPr>
        <w:footnoteReference w:customMarkFollows="1" w:id="1"/>
        <w:t>*</w:t>
      </w:r>
    </w:p>
    <w:p w:rsidR="00DB2C04" w:rsidRPr="0013306B" w:rsidRDefault="00DB2C04" w:rsidP="00DB2C04">
      <w:pPr>
        <w:pStyle w:val="SingleTxtGA"/>
        <w:rPr>
          <w:rtl/>
          <w:lang w:eastAsia="zh-TW"/>
        </w:rPr>
      </w:pPr>
      <w:r>
        <w:rPr>
          <w:rFonts w:hint="cs"/>
          <w:rtl/>
          <w:lang w:eastAsia="zh-TW"/>
        </w:rPr>
        <w:t>1-</w:t>
      </w:r>
      <w:r>
        <w:rPr>
          <w:rFonts w:hint="cs"/>
          <w:rtl/>
          <w:lang w:eastAsia="zh-TW"/>
        </w:rPr>
        <w:tab/>
      </w:r>
      <w:r>
        <w:rPr>
          <w:rtl/>
          <w:lang w:eastAsia="zh-TW"/>
        </w:rPr>
        <w:t xml:space="preserve">نظرت اللجنة في التقرير </w:t>
      </w:r>
      <w:r w:rsidRPr="00930734">
        <w:rPr>
          <w:color w:val="FF0000"/>
          <w:rtl/>
          <w:lang w:eastAsia="zh-TW"/>
        </w:rPr>
        <w:t xml:space="preserve">[الأولي] [الجامع للتقارير الدورية [الرقم]] [الدوري [الرقم]] </w:t>
      </w:r>
      <w:r>
        <w:rPr>
          <w:rFonts w:hint="cs"/>
          <w:rtl/>
          <w:lang w:eastAsia="zh-TW"/>
        </w:rPr>
        <w:t>ل‍</w:t>
      </w:r>
      <w:r>
        <w:rPr>
          <w:rFonts w:hint="cs"/>
          <w:color w:val="FF0000"/>
          <w:rtl/>
          <w:lang w:eastAsia="zh-TW"/>
        </w:rPr>
        <w:t> </w:t>
      </w:r>
      <w:r w:rsidRPr="00930734">
        <w:rPr>
          <w:color w:val="FF0000"/>
          <w:rtl/>
          <w:lang w:eastAsia="zh-TW"/>
        </w:rPr>
        <w:t xml:space="preserve">[البلد] </w:t>
      </w:r>
      <w:r w:rsidRPr="0013306B">
        <w:t>(E/C.12/</w:t>
      </w:r>
      <w:r w:rsidRPr="0013306B">
        <w:rPr>
          <w:color w:val="FF0000"/>
        </w:rPr>
        <w:t>XXX</w:t>
      </w:r>
      <w:r w:rsidRPr="0013306B">
        <w:t>/</w:t>
      </w:r>
      <w:r w:rsidRPr="0013306B">
        <w:rPr>
          <w:color w:val="FF0000"/>
        </w:rPr>
        <w:t>Y</w:t>
      </w:r>
      <w:r w:rsidRPr="0013306B">
        <w:t>)</w:t>
      </w:r>
      <w:r>
        <w:rPr>
          <w:rtl/>
          <w:lang w:eastAsia="zh-TW"/>
        </w:rPr>
        <w:t xml:space="preserve"> في جلستيها </w:t>
      </w:r>
      <w:r w:rsidRPr="00930734">
        <w:rPr>
          <w:color w:val="FF0000"/>
          <w:rtl/>
          <w:lang w:eastAsia="zh-TW"/>
        </w:rPr>
        <w:t>ال</w:t>
      </w:r>
      <w:r>
        <w:rPr>
          <w:color w:val="FF0000"/>
          <w:rtl/>
          <w:lang w:eastAsia="zh-TW"/>
        </w:rPr>
        <w:t>رقم </w:t>
      </w:r>
      <w:r>
        <w:rPr>
          <w:rtl/>
          <w:lang w:eastAsia="zh-TW"/>
        </w:rPr>
        <w:t>و</w:t>
      </w:r>
      <w:r w:rsidRPr="00930734">
        <w:rPr>
          <w:color w:val="FF0000"/>
          <w:rtl/>
          <w:lang w:eastAsia="zh-TW"/>
        </w:rPr>
        <w:t>ال</w:t>
      </w:r>
      <w:r>
        <w:rPr>
          <w:color w:val="FF0000"/>
          <w:rtl/>
          <w:lang w:eastAsia="zh-TW"/>
        </w:rPr>
        <w:t>رقم </w:t>
      </w:r>
      <w:r>
        <w:rPr>
          <w:rtl/>
          <w:lang w:eastAsia="zh-TW"/>
        </w:rPr>
        <w:t xml:space="preserve">(انظر </w:t>
      </w:r>
      <w:r w:rsidRPr="0013306B">
        <w:t>E/C.12/2016/SR.</w:t>
      </w:r>
      <w:r w:rsidRPr="0013306B">
        <w:rPr>
          <w:color w:val="FF0000"/>
        </w:rPr>
        <w:t>XXX</w:t>
      </w:r>
      <w:r>
        <w:rPr>
          <w:rtl/>
          <w:lang w:eastAsia="zh-TW"/>
        </w:rPr>
        <w:t xml:space="preserve"> و</w:t>
      </w:r>
      <w:r w:rsidRPr="00B341F0">
        <w:t>SR.</w:t>
      </w:r>
      <w:r w:rsidRPr="0013306B">
        <w:rPr>
          <w:color w:val="FF0000"/>
        </w:rPr>
        <w:t>XXX</w:t>
      </w:r>
      <w:r>
        <w:rPr>
          <w:rtl/>
          <w:lang w:eastAsia="zh-TW"/>
        </w:rPr>
        <w:t xml:space="preserve">)، المعقودتين في </w:t>
      </w:r>
      <w:r w:rsidRPr="00930734">
        <w:rPr>
          <w:color w:val="FF0000"/>
          <w:rtl/>
          <w:lang w:eastAsia="zh-TW"/>
        </w:rPr>
        <w:t xml:space="preserve">التاريخ </w:t>
      </w:r>
      <w:r>
        <w:rPr>
          <w:rtl/>
          <w:lang w:eastAsia="zh-TW"/>
        </w:rPr>
        <w:t>و</w:t>
      </w:r>
      <w:r w:rsidRPr="00930734">
        <w:rPr>
          <w:color w:val="FF0000"/>
          <w:rtl/>
          <w:lang w:eastAsia="zh-TW"/>
        </w:rPr>
        <w:t>التاريخ</w:t>
      </w:r>
      <w:r>
        <w:rPr>
          <w:rtl/>
          <w:lang w:eastAsia="zh-TW"/>
        </w:rPr>
        <w:t xml:space="preserve">، واعتمدت في جلستها </w:t>
      </w:r>
      <w:r w:rsidRPr="00930734">
        <w:rPr>
          <w:color w:val="FF0000"/>
          <w:rtl/>
          <w:lang w:eastAsia="zh-TW"/>
        </w:rPr>
        <w:t>الرقم</w:t>
      </w:r>
      <w:r>
        <w:rPr>
          <w:rtl/>
          <w:lang w:eastAsia="zh-TW"/>
        </w:rPr>
        <w:t xml:space="preserve">، المعقودة في </w:t>
      </w:r>
      <w:r w:rsidRPr="00930734">
        <w:rPr>
          <w:color w:val="FF0000"/>
          <w:rtl/>
          <w:lang w:eastAsia="zh-TW"/>
        </w:rPr>
        <w:t>التاريخ</w:t>
      </w:r>
      <w:r>
        <w:rPr>
          <w:rtl/>
          <w:lang w:eastAsia="zh-TW"/>
        </w:rPr>
        <w:t>، هذه الملاحظات الختامية.</w:t>
      </w:r>
      <w:bookmarkStart w:id="0" w:name="_GoBack"/>
      <w:bookmarkEnd w:id="0"/>
    </w:p>
    <w:p w:rsidR="00DB2C04" w:rsidRPr="00FF278C" w:rsidRDefault="00DB2C04" w:rsidP="00DB2C04">
      <w:pPr>
        <w:pStyle w:val="H1GA"/>
        <w:rPr>
          <w:rtl/>
          <w:lang w:eastAsia="zh-TW"/>
        </w:rPr>
      </w:pPr>
      <w:r>
        <w:rPr>
          <w:rFonts w:hint="cs"/>
          <w:rtl/>
          <w:lang w:eastAsia="zh-TW"/>
        </w:rPr>
        <w:tab/>
      </w:r>
      <w:r w:rsidRPr="00FF278C">
        <w:rPr>
          <w:rtl/>
          <w:lang w:eastAsia="zh-TW"/>
        </w:rPr>
        <w:t>ألف-</w:t>
      </w:r>
      <w:r>
        <w:rPr>
          <w:rFonts w:hint="cs"/>
          <w:rtl/>
          <w:lang w:eastAsia="zh-TW"/>
        </w:rPr>
        <w:tab/>
      </w:r>
      <w:r w:rsidRPr="00FF278C">
        <w:rPr>
          <w:rtl/>
          <w:lang w:eastAsia="zh-TW"/>
        </w:rPr>
        <w:t>مقدمة</w:t>
      </w:r>
    </w:p>
    <w:p w:rsidR="00DB2C04" w:rsidRPr="00FF278C" w:rsidRDefault="00DB2C04" w:rsidP="00DB2C04">
      <w:pPr>
        <w:pStyle w:val="H1GA"/>
        <w:rPr>
          <w:rtl/>
          <w:lang w:eastAsia="zh-TW"/>
        </w:rPr>
      </w:pPr>
      <w:r>
        <w:rPr>
          <w:rFonts w:hint="cs"/>
          <w:rtl/>
          <w:lang w:eastAsia="zh-TW"/>
        </w:rPr>
        <w:tab/>
      </w:r>
      <w:r w:rsidRPr="00FF278C">
        <w:rPr>
          <w:rtl/>
          <w:lang w:eastAsia="zh-TW"/>
        </w:rPr>
        <w:t>باء-</w:t>
      </w:r>
      <w:r>
        <w:rPr>
          <w:rFonts w:hint="cs"/>
          <w:rtl/>
          <w:lang w:eastAsia="zh-TW"/>
        </w:rPr>
        <w:tab/>
      </w:r>
      <w:r w:rsidRPr="00FF278C">
        <w:rPr>
          <w:rtl/>
          <w:lang w:eastAsia="zh-TW"/>
        </w:rPr>
        <w:t>الجوانب الايجابية</w:t>
      </w:r>
    </w:p>
    <w:p w:rsidR="00DB2C04" w:rsidRPr="00FF278C" w:rsidRDefault="00DB2C04" w:rsidP="00DB2C04">
      <w:pPr>
        <w:pStyle w:val="H1GA"/>
        <w:rPr>
          <w:rtl/>
          <w:lang w:eastAsia="zh-TW"/>
        </w:rPr>
      </w:pPr>
      <w:r>
        <w:rPr>
          <w:rFonts w:hint="cs"/>
          <w:rtl/>
          <w:lang w:eastAsia="zh-TW"/>
        </w:rPr>
        <w:tab/>
      </w:r>
      <w:r w:rsidRPr="00FF278C">
        <w:rPr>
          <w:rtl/>
          <w:lang w:eastAsia="zh-TW"/>
        </w:rPr>
        <w:t>جيم-</w:t>
      </w:r>
      <w:r>
        <w:rPr>
          <w:rFonts w:hint="cs"/>
          <w:rtl/>
          <w:lang w:eastAsia="zh-TW"/>
        </w:rPr>
        <w:tab/>
      </w:r>
      <w:r w:rsidRPr="00FF278C">
        <w:rPr>
          <w:rtl/>
          <w:lang w:eastAsia="zh-TW"/>
        </w:rPr>
        <w:t>دواعي القلق الرئيسية والتوصيات</w:t>
      </w:r>
    </w:p>
    <w:p w:rsidR="00DB2C04" w:rsidRPr="00FF278C" w:rsidRDefault="00DB2C04" w:rsidP="00DB2C04">
      <w:pPr>
        <w:pStyle w:val="H1GA"/>
        <w:rPr>
          <w:rtl/>
          <w:lang w:eastAsia="zh-TW"/>
        </w:rPr>
      </w:pPr>
      <w:r>
        <w:rPr>
          <w:rFonts w:hint="cs"/>
          <w:rtl/>
          <w:lang w:eastAsia="zh-TW"/>
        </w:rPr>
        <w:tab/>
      </w:r>
      <w:r w:rsidRPr="00FF278C">
        <w:rPr>
          <w:rtl/>
          <w:lang w:eastAsia="zh-TW"/>
        </w:rPr>
        <w:t>دال-</w:t>
      </w:r>
      <w:r>
        <w:rPr>
          <w:rFonts w:hint="cs"/>
          <w:rtl/>
          <w:lang w:eastAsia="zh-TW"/>
        </w:rPr>
        <w:tab/>
      </w:r>
      <w:r w:rsidRPr="00FF278C">
        <w:rPr>
          <w:rtl/>
          <w:lang w:eastAsia="zh-TW"/>
        </w:rPr>
        <w:t>توصيات أخرى</w:t>
      </w:r>
    </w:p>
    <w:p w:rsidR="00DB2C04" w:rsidRPr="00CF2366" w:rsidRDefault="00DB2C04" w:rsidP="00DB2C04">
      <w:pPr>
        <w:pStyle w:val="SingleTxtGA"/>
        <w:rPr>
          <w:b/>
          <w:bCs/>
          <w:rtl/>
          <w:lang w:eastAsia="zh-TW"/>
        </w:rPr>
      </w:pPr>
      <w:r>
        <w:rPr>
          <w:rFonts w:hint="cs"/>
          <w:rtl/>
          <w:lang w:eastAsia="zh-TW"/>
        </w:rPr>
        <w:t>2-</w:t>
      </w:r>
      <w:r>
        <w:rPr>
          <w:rFonts w:hint="cs"/>
          <w:rtl/>
          <w:lang w:eastAsia="zh-TW"/>
        </w:rPr>
        <w:tab/>
      </w:r>
      <w:r w:rsidRPr="00CF2366">
        <w:rPr>
          <w:b/>
          <w:bCs/>
          <w:rtl/>
          <w:lang w:eastAsia="zh-TW"/>
        </w:rPr>
        <w:t xml:space="preserve">تشجع اللجنة الدولة الطرف على التصديق على البروتوكول الاختياري للعهد الدولي الخاص بالحقوق الاقتصادية والاجتماعية والثقافية. </w:t>
      </w:r>
      <w:r w:rsidRPr="00CF2366">
        <w:rPr>
          <w:b/>
          <w:bCs/>
          <w:highlight w:val="yellow"/>
          <w:rtl/>
          <w:lang w:eastAsia="zh-TW"/>
        </w:rPr>
        <w:t>[[إذا كان ذلك ينطبق.]]</w:t>
      </w:r>
    </w:p>
    <w:p w:rsidR="00DB2C04" w:rsidRPr="00CF2366" w:rsidRDefault="00DB2C04" w:rsidP="00DB2C04">
      <w:pPr>
        <w:pStyle w:val="SingleTxtGA"/>
        <w:rPr>
          <w:b/>
          <w:bCs/>
          <w:rtl/>
          <w:lang w:eastAsia="zh-TW"/>
        </w:rPr>
      </w:pPr>
      <w:r>
        <w:rPr>
          <w:rFonts w:hint="cs"/>
          <w:rtl/>
          <w:lang w:eastAsia="zh-TW"/>
        </w:rPr>
        <w:t>3-</w:t>
      </w:r>
      <w:r>
        <w:rPr>
          <w:rFonts w:hint="cs"/>
          <w:rtl/>
          <w:lang w:eastAsia="zh-TW"/>
        </w:rPr>
        <w:tab/>
      </w:r>
      <w:r w:rsidRPr="00CF2366">
        <w:rPr>
          <w:b/>
          <w:bCs/>
          <w:rtl/>
          <w:lang w:eastAsia="zh-TW"/>
        </w:rPr>
        <w:t xml:space="preserve">توصي اللجنة الدولة الطرف بالنظر في التصديق على </w:t>
      </w:r>
      <w:r w:rsidRPr="00CF2366">
        <w:rPr>
          <w:b/>
          <w:bCs/>
          <w:color w:val="FF0000"/>
          <w:rtl/>
          <w:lang w:eastAsia="zh-TW"/>
        </w:rPr>
        <w:t>[</w:t>
      </w:r>
      <w:r w:rsidRPr="00CF2366">
        <w:rPr>
          <w:b/>
          <w:bCs/>
          <w:rtl/>
          <w:lang w:eastAsia="zh-TW"/>
        </w:rPr>
        <w:t>الصكوك الأساسية لحقوق الإنسان التي</w:t>
      </w:r>
      <w:r>
        <w:rPr>
          <w:b/>
          <w:bCs/>
          <w:rtl/>
          <w:lang w:eastAsia="zh-TW"/>
        </w:rPr>
        <w:t xml:space="preserve"> لم </w:t>
      </w:r>
      <w:r w:rsidRPr="00CF2366">
        <w:rPr>
          <w:b/>
          <w:bCs/>
          <w:rtl/>
          <w:lang w:eastAsia="zh-TW"/>
        </w:rPr>
        <w:t>تصبح طرفاً فيها بعد، وهي</w:t>
      </w:r>
      <w:r w:rsidRPr="00CF2366">
        <w:rPr>
          <w:b/>
          <w:bCs/>
          <w:color w:val="FF0000"/>
          <w:rtl/>
          <w:lang w:eastAsia="zh-TW"/>
        </w:rPr>
        <w:t>]</w:t>
      </w:r>
      <w:r w:rsidRPr="00CF2366">
        <w:rPr>
          <w:b/>
          <w:bCs/>
          <w:rtl/>
          <w:lang w:eastAsia="zh-TW"/>
        </w:rPr>
        <w:t xml:space="preserve"> </w:t>
      </w:r>
      <w:r w:rsidRPr="00CF2366">
        <w:rPr>
          <w:b/>
          <w:bCs/>
          <w:color w:val="FF0000"/>
          <w:rtl/>
          <w:lang w:eastAsia="zh-TW"/>
        </w:rPr>
        <w:t>أسماء الصكوك</w:t>
      </w:r>
      <w:r w:rsidRPr="00CF2366">
        <w:rPr>
          <w:b/>
          <w:bCs/>
          <w:rtl/>
          <w:lang w:eastAsia="zh-TW"/>
        </w:rPr>
        <w:t>.</w:t>
      </w:r>
    </w:p>
    <w:p w:rsidR="00DB2C04" w:rsidRPr="00CF2366" w:rsidRDefault="00DB2C04" w:rsidP="00DB2C04">
      <w:pPr>
        <w:pStyle w:val="SingleTxtGA"/>
        <w:rPr>
          <w:b/>
          <w:bCs/>
          <w:rtl/>
          <w:lang w:eastAsia="zh-TW"/>
        </w:rPr>
      </w:pPr>
      <w:r>
        <w:rPr>
          <w:rFonts w:hint="cs"/>
          <w:rtl/>
          <w:lang w:eastAsia="zh-TW"/>
        </w:rPr>
        <w:t>4-</w:t>
      </w:r>
      <w:r>
        <w:rPr>
          <w:rFonts w:hint="cs"/>
          <w:rtl/>
          <w:lang w:eastAsia="zh-TW"/>
        </w:rPr>
        <w:tab/>
      </w:r>
      <w:r w:rsidRPr="00CF2366">
        <w:rPr>
          <w:b/>
          <w:bCs/>
          <w:rtl/>
          <w:lang w:eastAsia="zh-TW"/>
        </w:rPr>
        <w:t>وتوصي اللجنة الدولة الطرف بأن تراعي التزاماتها بموجب العهد مراعاة تامة وبأن تكفل التمتع الكامل بالحقوق المكرسة فيه عند تنفيذ خطة التنمية المستدامة</w:t>
      </w:r>
      <w:r>
        <w:rPr>
          <w:b/>
          <w:bCs/>
          <w:rtl/>
          <w:lang w:eastAsia="zh-TW"/>
        </w:rPr>
        <w:t xml:space="preserve"> لعام </w:t>
      </w:r>
      <w:r w:rsidRPr="00CF2366">
        <w:rPr>
          <w:b/>
          <w:bCs/>
          <w:rtl/>
          <w:lang w:eastAsia="zh-TW"/>
        </w:rPr>
        <w:t>2030 على الصعيد الوطني، بمساعدة وتعاون دوليين عند اللزوم. وستيسر الدولة الطرف تحقيق أهداف التنمية المستدامة إلى حد كبير إذا</w:t>
      </w:r>
      <w:r>
        <w:rPr>
          <w:b/>
          <w:bCs/>
          <w:rtl/>
          <w:lang w:eastAsia="zh-TW"/>
        </w:rPr>
        <w:t xml:space="preserve"> ما </w:t>
      </w:r>
      <w:r w:rsidRPr="00CF2366">
        <w:rPr>
          <w:b/>
          <w:bCs/>
          <w:rtl/>
          <w:lang w:eastAsia="zh-TW"/>
        </w:rPr>
        <w:t xml:space="preserve">أنشأت آليات مستقلة لرصد التقدم المحرز وعاملت المستفيدين من البرامج الحكومية بوصفهم أصحاب حقوق يمكنهم المطالبة </w:t>
      </w:r>
      <w:r w:rsidRPr="00CF2366">
        <w:rPr>
          <w:b/>
          <w:bCs/>
          <w:rtl/>
          <w:lang w:eastAsia="zh-TW"/>
        </w:rPr>
        <w:lastRenderedPageBreak/>
        <w:t>باستحقاقات. ومن شأن تنفيذ الأهداف على أساس مبادئ المشاركة والمساءلة وعدم التمييز أن يضمن عدم إهمال أحد.</w:t>
      </w:r>
    </w:p>
    <w:p w:rsidR="00DB2C04" w:rsidRPr="00CF2366" w:rsidRDefault="00DB2C04" w:rsidP="00DB2C04">
      <w:pPr>
        <w:pStyle w:val="SingleTxtGA"/>
        <w:rPr>
          <w:b/>
          <w:bCs/>
          <w:rtl/>
          <w:lang w:eastAsia="zh-TW"/>
        </w:rPr>
      </w:pPr>
      <w:r>
        <w:rPr>
          <w:rFonts w:hint="cs"/>
          <w:rtl/>
          <w:lang w:eastAsia="zh-TW"/>
        </w:rPr>
        <w:t>5-</w:t>
      </w:r>
      <w:r>
        <w:rPr>
          <w:rFonts w:hint="cs"/>
          <w:rtl/>
          <w:lang w:eastAsia="zh-TW"/>
        </w:rPr>
        <w:tab/>
      </w:r>
      <w:r w:rsidRPr="00CF2366">
        <w:rPr>
          <w:b/>
          <w:bCs/>
          <w:rtl/>
          <w:lang w:eastAsia="zh-TW"/>
        </w:rPr>
        <w:t>وتوصي اللجنة الدولة الطرف باتخاذ خطوات للعمل تدريجياً على وضع وتطبيق مؤشرات مناسبة بشأن إعمال الحقوق الاقتصادية والاجتماعية والثقافية بغية تيسير تقييم التقدم الذي تحرزه الدولة الطرف في الامتثال لالتزاماتها بموجب العهد تجاه مختلف شرائح السكان.</w:t>
      </w:r>
      <w:r>
        <w:rPr>
          <w:b/>
          <w:bCs/>
          <w:rtl/>
          <w:lang w:eastAsia="zh-TW"/>
        </w:rPr>
        <w:t xml:space="preserve"> وفي </w:t>
      </w:r>
      <w:r w:rsidRPr="00CF2366">
        <w:rPr>
          <w:b/>
          <w:bCs/>
          <w:rtl/>
          <w:lang w:eastAsia="zh-TW"/>
        </w:rPr>
        <w:t xml:space="preserve">ذلك السياق، تحيل اللجنة الدولة الطرف إلى جملة أمور منها الإطار </w:t>
      </w:r>
      <w:proofErr w:type="spellStart"/>
      <w:r w:rsidRPr="00CF2366">
        <w:rPr>
          <w:b/>
          <w:bCs/>
          <w:rtl/>
          <w:lang w:eastAsia="zh-TW"/>
        </w:rPr>
        <w:t>المفاهيمي</w:t>
      </w:r>
      <w:proofErr w:type="spellEnd"/>
      <w:r w:rsidRPr="00CF2366">
        <w:rPr>
          <w:b/>
          <w:bCs/>
          <w:rtl/>
          <w:lang w:eastAsia="zh-TW"/>
        </w:rPr>
        <w:t xml:space="preserve"> والمنهجي بشأن مؤشرات حقوق الإنسان الذي وضعته مفوضية الأمم المتحدة السامية لحقوق الإنسان (انظر </w:t>
      </w:r>
      <w:r w:rsidRPr="00CF2366">
        <w:rPr>
          <w:b/>
          <w:bCs/>
        </w:rPr>
        <w:t>HRI/MC/2008/3</w:t>
      </w:r>
      <w:r w:rsidRPr="00CF2366">
        <w:rPr>
          <w:b/>
          <w:bCs/>
          <w:rtl/>
          <w:lang w:eastAsia="zh-TW"/>
        </w:rPr>
        <w:t>).</w:t>
      </w:r>
    </w:p>
    <w:p w:rsidR="00DB2C04" w:rsidRPr="00605452" w:rsidRDefault="00DB2C04" w:rsidP="00DB2C04">
      <w:pPr>
        <w:pStyle w:val="SingleTxtGA"/>
        <w:rPr>
          <w:b/>
          <w:bCs/>
          <w:rtl/>
          <w:lang w:eastAsia="zh-TW"/>
        </w:rPr>
      </w:pPr>
      <w:r>
        <w:rPr>
          <w:rFonts w:hint="cs"/>
          <w:rtl/>
          <w:lang w:eastAsia="zh-TW"/>
        </w:rPr>
        <w:t>6-</w:t>
      </w:r>
      <w:r>
        <w:rPr>
          <w:rFonts w:hint="cs"/>
          <w:rtl/>
          <w:lang w:eastAsia="zh-TW"/>
        </w:rPr>
        <w:tab/>
      </w:r>
      <w:r w:rsidRPr="00143F5E">
        <w:rPr>
          <w:b/>
          <w:bCs/>
          <w:rtl/>
          <w:lang w:eastAsia="zh-TW"/>
        </w:rPr>
        <w:t>وتطلب اللجنة إلى الدولة الطرف أن تنشر هذه الملاحظات الختامية على نطاق واسع على جميع مستويات المجتمع،</w:t>
      </w:r>
      <w:r>
        <w:rPr>
          <w:b/>
          <w:bCs/>
          <w:rtl/>
          <w:lang w:eastAsia="zh-TW"/>
        </w:rPr>
        <w:t xml:space="preserve"> بما </w:t>
      </w:r>
      <w:r w:rsidRPr="00143F5E">
        <w:rPr>
          <w:b/>
          <w:bCs/>
          <w:rtl/>
          <w:lang w:eastAsia="zh-TW"/>
        </w:rPr>
        <w:t>في ذلك على</w:t>
      </w:r>
      <w:r>
        <w:rPr>
          <w:rtl/>
          <w:lang w:eastAsia="zh-TW"/>
        </w:rPr>
        <w:t xml:space="preserve"> </w:t>
      </w:r>
      <w:r w:rsidRPr="00143F5E">
        <w:rPr>
          <w:color w:val="FF0000"/>
          <w:rtl/>
          <w:lang w:eastAsia="zh-TW"/>
        </w:rPr>
        <w:t>[</w:t>
      </w:r>
      <w:r w:rsidRPr="00143F5E">
        <w:rPr>
          <w:b/>
          <w:bCs/>
          <w:rtl/>
          <w:lang w:eastAsia="zh-TW"/>
        </w:rPr>
        <w:t>المستوى الوطني ومستوى المقاطعات والأقاليم،</w:t>
      </w:r>
      <w:r w:rsidRPr="00143F5E">
        <w:rPr>
          <w:color w:val="FF0000"/>
          <w:rtl/>
          <w:lang w:eastAsia="zh-TW"/>
        </w:rPr>
        <w:t>]</w:t>
      </w:r>
      <w:r>
        <w:rPr>
          <w:rtl/>
          <w:lang w:eastAsia="zh-TW"/>
        </w:rPr>
        <w:t xml:space="preserve"> </w:t>
      </w:r>
      <w:r w:rsidRPr="00AE531F">
        <w:rPr>
          <w:b/>
          <w:bCs/>
          <w:rtl/>
          <w:lang w:eastAsia="zh-TW"/>
        </w:rPr>
        <w:t>ولا</w:t>
      </w:r>
      <w:r>
        <w:rPr>
          <w:rtl/>
          <w:lang w:eastAsia="zh-TW"/>
        </w:rPr>
        <w:t> </w:t>
      </w:r>
      <w:r w:rsidRPr="00143F5E">
        <w:rPr>
          <w:b/>
          <w:bCs/>
          <w:rtl/>
          <w:lang w:eastAsia="zh-TW"/>
        </w:rPr>
        <w:t>سيما في صفوف البرلمانيين والموظفين العموميين والسلطات القضائية، وأن تُطلع اللجنة، في تقريرها الدوري المقبل، على الخطوات المتخذة لتنفيذ هذه الملاحظات. وتشجع اللجنة الدولة الطرف على</w:t>
      </w:r>
      <w:r>
        <w:rPr>
          <w:rtl/>
          <w:lang w:eastAsia="zh-TW"/>
        </w:rPr>
        <w:t xml:space="preserve"> </w:t>
      </w:r>
      <w:r w:rsidRPr="00143F5E">
        <w:rPr>
          <w:color w:val="FF0000"/>
          <w:rtl/>
          <w:lang w:eastAsia="zh-TW"/>
        </w:rPr>
        <w:t>[</w:t>
      </w:r>
      <w:r w:rsidRPr="00B57E9F">
        <w:rPr>
          <w:b/>
          <w:bCs/>
          <w:color w:val="FF0000"/>
          <w:rtl/>
          <w:lang w:eastAsia="zh-TW"/>
        </w:rPr>
        <w:t>إشراك</w:t>
      </w:r>
      <w:r w:rsidRPr="00143F5E">
        <w:rPr>
          <w:color w:val="FF0000"/>
          <w:rtl/>
          <w:lang w:eastAsia="zh-TW"/>
        </w:rPr>
        <w:t>] [</w:t>
      </w:r>
      <w:r w:rsidRPr="00B57E9F">
        <w:rPr>
          <w:b/>
          <w:bCs/>
          <w:color w:val="FF0000"/>
          <w:rtl/>
          <w:lang w:eastAsia="zh-TW"/>
        </w:rPr>
        <w:t>مواصلة إشراك</w:t>
      </w:r>
      <w:r w:rsidRPr="00143F5E">
        <w:rPr>
          <w:color w:val="FF0000"/>
          <w:rtl/>
          <w:lang w:eastAsia="zh-TW"/>
        </w:rPr>
        <w:t>]</w:t>
      </w:r>
      <w:r w:rsidRPr="00143F5E">
        <w:rPr>
          <w:rtl/>
          <w:lang w:eastAsia="zh-TW"/>
        </w:rPr>
        <w:t xml:space="preserve"> </w:t>
      </w:r>
      <w:r w:rsidRPr="00143F5E">
        <w:rPr>
          <w:b/>
          <w:bCs/>
          <w:rtl/>
          <w:lang w:eastAsia="zh-TW"/>
        </w:rPr>
        <w:t>المنظمات غير الحكومية وغيرها من أعضاء المجتمع المدني</w:t>
      </w:r>
      <w:r w:rsidRPr="00A84D9D">
        <w:rPr>
          <w:b/>
          <w:bCs/>
          <w:color w:val="FF0000"/>
          <w:rtl/>
          <w:lang w:eastAsia="zh-TW"/>
        </w:rPr>
        <w:t>...</w:t>
      </w:r>
      <w:r w:rsidRPr="00A84D9D">
        <w:rPr>
          <w:b/>
          <w:bCs/>
          <w:rtl/>
          <w:lang w:eastAsia="zh-TW"/>
        </w:rPr>
        <w:t>، في متابعة هذه الملاحظات الختامية</w:t>
      </w:r>
      <w:r>
        <w:rPr>
          <w:b/>
          <w:bCs/>
          <w:rtl/>
          <w:lang w:eastAsia="zh-TW"/>
        </w:rPr>
        <w:t xml:space="preserve"> وفي </w:t>
      </w:r>
      <w:r w:rsidRPr="00A84D9D">
        <w:rPr>
          <w:b/>
          <w:bCs/>
          <w:rtl/>
          <w:lang w:eastAsia="zh-TW"/>
        </w:rPr>
        <w:t>عملية التشاور على الصعيد الوطني قبل تقديم تقريرها الدوري المقبل</w:t>
      </w:r>
      <w:r>
        <w:rPr>
          <w:rtl/>
          <w:lang w:eastAsia="zh-TW"/>
        </w:rPr>
        <w:t xml:space="preserve">. </w:t>
      </w:r>
      <w:r w:rsidRPr="00A84D9D">
        <w:rPr>
          <w:highlight w:val="yellow"/>
          <w:rtl/>
          <w:lang w:eastAsia="zh-TW"/>
        </w:rPr>
        <w:t>[[</w:t>
      </w:r>
      <w:r w:rsidRPr="00A84D9D">
        <w:rPr>
          <w:b/>
          <w:bCs/>
          <w:highlight w:val="yellow"/>
          <w:rtl/>
          <w:lang w:eastAsia="zh-TW"/>
        </w:rPr>
        <w:t>قد</w:t>
      </w:r>
      <w:r>
        <w:rPr>
          <w:b/>
          <w:bCs/>
          <w:highlight w:val="yellow"/>
          <w:rtl/>
          <w:lang w:eastAsia="zh-TW"/>
        </w:rPr>
        <w:t xml:space="preserve"> لا </w:t>
      </w:r>
      <w:r w:rsidRPr="00A84D9D">
        <w:rPr>
          <w:b/>
          <w:bCs/>
          <w:highlight w:val="yellow"/>
          <w:rtl/>
          <w:lang w:eastAsia="zh-TW"/>
        </w:rPr>
        <w:t>تكون الصيغة مطابقة تماماً</w:t>
      </w:r>
      <w:r w:rsidRPr="00A84D9D">
        <w:rPr>
          <w:highlight w:val="yellow"/>
          <w:rtl/>
          <w:lang w:eastAsia="zh-TW"/>
        </w:rPr>
        <w:t>.]]</w:t>
      </w:r>
    </w:p>
    <w:p w:rsidR="00DB2C04" w:rsidRDefault="00DB2C04" w:rsidP="00DB2C04">
      <w:pPr>
        <w:pStyle w:val="SingleTxtGA"/>
        <w:rPr>
          <w:b/>
          <w:bCs/>
          <w:rtl/>
          <w:lang w:eastAsia="zh-TW"/>
        </w:rPr>
      </w:pPr>
      <w:r>
        <w:rPr>
          <w:rFonts w:hint="cs"/>
          <w:rtl/>
          <w:lang w:eastAsia="zh-TW"/>
        </w:rPr>
        <w:t>7-</w:t>
      </w:r>
      <w:r>
        <w:rPr>
          <w:rFonts w:hint="cs"/>
          <w:rtl/>
          <w:lang w:eastAsia="zh-TW"/>
        </w:rPr>
        <w:tab/>
      </w:r>
      <w:r w:rsidRPr="00A84D9D">
        <w:rPr>
          <w:b/>
          <w:bCs/>
          <w:rtl/>
          <w:lang w:eastAsia="zh-TW"/>
        </w:rPr>
        <w:t xml:space="preserve">وتطلب اللجنة إلى الدولة الطرف أن تقدِّم، بحلول </w:t>
      </w:r>
      <w:r w:rsidRPr="00A84D9D">
        <w:rPr>
          <w:b/>
          <w:bCs/>
          <w:color w:val="FF0000"/>
          <w:rtl/>
          <w:lang w:eastAsia="zh-TW"/>
        </w:rPr>
        <w:t>التاريخ</w:t>
      </w:r>
      <w:r w:rsidRPr="00A84D9D">
        <w:rPr>
          <w:b/>
          <w:bCs/>
          <w:rtl/>
          <w:lang w:eastAsia="zh-TW"/>
        </w:rPr>
        <w:t xml:space="preserve">، تقريرها الدوري </w:t>
      </w:r>
      <w:r w:rsidRPr="00A84D9D">
        <w:rPr>
          <w:b/>
          <w:bCs/>
          <w:color w:val="FF0000"/>
          <w:rtl/>
          <w:lang w:eastAsia="zh-TW"/>
        </w:rPr>
        <w:t>الرقم</w:t>
      </w:r>
      <w:r w:rsidRPr="00A84D9D">
        <w:rPr>
          <w:b/>
          <w:bCs/>
          <w:rtl/>
          <w:lang w:eastAsia="zh-TW"/>
        </w:rPr>
        <w:t>، الذي يتعين إعداده وفقاً للمبادئ التوجيهية لتقديم التقارير التي اعتمدتها اللجنة في</w:t>
      </w:r>
      <w:r>
        <w:rPr>
          <w:b/>
          <w:bCs/>
          <w:rtl/>
          <w:lang w:eastAsia="zh-TW"/>
        </w:rPr>
        <w:t xml:space="preserve"> عام </w:t>
      </w:r>
      <w:r w:rsidRPr="00A84D9D">
        <w:rPr>
          <w:b/>
          <w:bCs/>
          <w:rtl/>
          <w:lang w:eastAsia="zh-TW"/>
        </w:rPr>
        <w:t>2008 (</w:t>
      </w:r>
      <w:r w:rsidRPr="00605452">
        <w:rPr>
          <w:b/>
          <w:bCs/>
        </w:rPr>
        <w:t>E/C.12/2008/2</w:t>
      </w:r>
      <w:r w:rsidRPr="00A84D9D">
        <w:rPr>
          <w:b/>
          <w:bCs/>
          <w:rtl/>
          <w:lang w:eastAsia="zh-TW"/>
        </w:rPr>
        <w:t>).</w:t>
      </w:r>
      <w:r w:rsidRPr="00A84D9D">
        <w:rPr>
          <w:highlight w:val="yellow"/>
          <w:rtl/>
          <w:lang w:eastAsia="zh-TW"/>
        </w:rPr>
        <w:t xml:space="preserve"> </w:t>
      </w:r>
      <w:r w:rsidRPr="00951D24">
        <w:rPr>
          <w:highlight w:val="yellow"/>
          <w:rtl/>
          <w:lang w:eastAsia="zh-TW"/>
        </w:rPr>
        <w:t>[[</w:t>
      </w:r>
      <w:r w:rsidRPr="00951D24">
        <w:rPr>
          <w:b/>
          <w:bCs/>
          <w:highlight w:val="yellow"/>
          <w:rtl/>
          <w:lang w:eastAsia="zh-TW"/>
        </w:rPr>
        <w:t>إذا كان ذلك ينطبق.</w:t>
      </w:r>
      <w:r w:rsidRPr="00951D24">
        <w:rPr>
          <w:highlight w:val="yellow"/>
          <w:rtl/>
          <w:lang w:eastAsia="zh-TW"/>
        </w:rPr>
        <w:t>]]</w:t>
      </w:r>
      <w:r w:rsidRPr="00A84D9D">
        <w:rPr>
          <w:b/>
          <w:bCs/>
          <w:rtl/>
          <w:lang w:eastAsia="zh-TW"/>
        </w:rPr>
        <w:t xml:space="preserve"> وبالإضافة إلى ذلك، تدعو اللجنة الدولة الطرف إلى تحديث وثيقتها الأساسية الموحدة، حسب الاقتضاء، وفقاً للمبادئ التوجيهية المنسقة لتقديم التقارير بموجب المعاهدات الدولية لحقوق الإنسان (انظر </w:t>
      </w:r>
      <w:r w:rsidRPr="00605452">
        <w:rPr>
          <w:b/>
          <w:bCs/>
        </w:rPr>
        <w:t>HRI/GEN/2/Rev.6</w:t>
      </w:r>
      <w:r w:rsidRPr="00A84D9D">
        <w:rPr>
          <w:b/>
          <w:bCs/>
          <w:rtl/>
          <w:lang w:eastAsia="zh-TW"/>
        </w:rPr>
        <w:t>، الفصل الأول).</w:t>
      </w:r>
    </w:p>
    <w:p w:rsidR="00DB2C04" w:rsidRPr="00CF2366" w:rsidRDefault="00DB2C04" w:rsidP="00DB2C04">
      <w:pPr>
        <w:pStyle w:val="SingleTxtGA"/>
        <w:jc w:val="center"/>
        <w:rPr>
          <w:u w:val="single"/>
          <w:rtl/>
          <w:lang w:eastAsia="zh-TW"/>
        </w:rPr>
      </w:pPr>
      <w:r>
        <w:rPr>
          <w:rFonts w:hint="cs"/>
          <w:u w:val="single"/>
          <w:rtl/>
          <w:lang w:eastAsia="zh-TW"/>
        </w:rPr>
        <w:tab/>
      </w:r>
      <w:r>
        <w:rPr>
          <w:rFonts w:hint="cs"/>
          <w:u w:val="single"/>
          <w:rtl/>
          <w:lang w:eastAsia="zh-TW"/>
        </w:rPr>
        <w:tab/>
      </w:r>
      <w:r>
        <w:rPr>
          <w:rFonts w:hint="cs"/>
          <w:u w:val="single"/>
          <w:rtl/>
          <w:lang w:eastAsia="zh-TW"/>
        </w:rPr>
        <w:tab/>
      </w:r>
    </w:p>
    <w:sectPr w:rsidR="00DB2C04" w:rsidRPr="00CF2366"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D84435" w:rsidP="00E61B92">
    <w:pPr>
      <w:pStyle w:val="Pieddepage"/>
      <w:tabs>
        <w:tab w:val="right" w:pos="9598"/>
      </w:tabs>
    </w:pPr>
    <w:r>
      <w:fldChar w:fldCharType="begin"/>
    </w:r>
    <w:r>
      <w:instrText xml:space="preserve"> DOCPROPERTY  gdocf  \* MERGEFORMAT </w:instrText>
    </w:r>
    <w:r>
      <w:fldChar w:fldCharType="separate"/>
    </w:r>
    <w:proofErr w:type="spellStart"/>
    <w:r w:rsidR="00E61B92" w:rsidRPr="000132BF">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DB2C04">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0F5AD2">
      <w:rPr>
        <w:b/>
        <w:noProof/>
        <w:sz w:val="18"/>
        <w:lang w:val="en-US"/>
      </w:rPr>
      <w:t>3</w:t>
    </w:r>
    <w:r w:rsidRPr="005B635A">
      <w:rPr>
        <w:b/>
        <w:sz w:val="18"/>
        <w:lang w:val="en-US"/>
      </w:rPr>
      <w:fldChar w:fldCharType="end"/>
    </w:r>
    <w:r>
      <w:rPr>
        <w:b/>
        <w:sz w:val="18"/>
        <w:lang w:val="en-US"/>
      </w:rPr>
      <w:tab/>
    </w:r>
    <w:r w:rsidR="00D84435">
      <w:fldChar w:fldCharType="begin"/>
    </w:r>
    <w:r w:rsidR="00D84435">
      <w:instrText xml:space="preserve"> DOCPROPERTY  gdocf  \* MERGEFORMAT </w:instrText>
    </w:r>
    <w:r w:rsidR="00D84435">
      <w:fldChar w:fldCharType="separate"/>
    </w:r>
    <w:proofErr w:type="spellStart"/>
    <w:r w:rsidRPr="000132BF">
      <w:t>gdocf</w:t>
    </w:r>
    <w:proofErr w:type="spellEnd"/>
    <w:r w:rsidR="00D8443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E71938">
      <w:rPr>
        <w:sz w:val="20"/>
        <w:szCs w:val="20"/>
      </w:rPr>
      <w:t>gdoc</w:t>
    </w:r>
    <w:proofErr w:type="spellEnd"/>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Pr="002234D2">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DB2C04" w:rsidRPr="00CF2366" w:rsidRDefault="00DB2C04" w:rsidP="00DB2C04">
      <w:pPr>
        <w:pStyle w:val="FootnoteText1"/>
      </w:pPr>
      <w:r w:rsidRPr="00CF2366">
        <w:rPr>
          <w:rtl/>
        </w:rPr>
        <w:t>*</w:t>
      </w:r>
      <w:r>
        <w:rPr>
          <w:rFonts w:hint="cs"/>
          <w:rtl/>
        </w:rPr>
        <w:tab/>
      </w:r>
      <w:r w:rsidRPr="00CF2366">
        <w:rPr>
          <w:rtl/>
          <w:lang w:eastAsia="zh-TW"/>
        </w:rPr>
        <w:t xml:space="preserve">اعتمدتها اللجنة في دورتها </w:t>
      </w:r>
      <w:r w:rsidRPr="00CF2366">
        <w:rPr>
          <w:color w:val="FF0000"/>
          <w:rtl/>
          <w:lang w:eastAsia="zh-TW"/>
        </w:rPr>
        <w:t xml:space="preserve">الرقم </w:t>
      </w:r>
      <w:r w:rsidRPr="00CF2366">
        <w:rPr>
          <w:rtl/>
          <w:lang w:eastAsia="zh-TW"/>
        </w:rPr>
        <w:t>(</w:t>
      </w:r>
      <w:r w:rsidRPr="00CF2366">
        <w:rPr>
          <w:color w:val="FF0000"/>
          <w:rtl/>
          <w:lang w:eastAsia="zh-TW"/>
        </w:rPr>
        <w:t>التواريخ</w:t>
      </w:r>
      <w:r w:rsidRPr="00CF2366">
        <w:rPr>
          <w:rtl/>
          <w:lang w:eastAsia="zh-T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D84435" w:rsidP="00E61B92">
    <w:pPr>
      <w:pStyle w:val="En-tte"/>
      <w:jc w:val="right"/>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D84435">
    <w:pPr>
      <w:pStyle w:val="En-tte"/>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isplayBackgroundShape/>
  <w:embedSystemFonts/>
  <w:proofState w:spelling="clean"/>
  <w:defaultTabStop w:val="680"/>
  <w:hyphenationZone w:val="425"/>
  <w:evenAndOddHeaders/>
  <w:characterSpacingControl w:val="doNotCompress"/>
  <w:hdrShapeDefaults>
    <o:shapedefaults v:ext="edit" spidmax="8192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76D5"/>
    <w:rsid w:val="00024732"/>
    <w:rsid w:val="00043663"/>
    <w:rsid w:val="000505CF"/>
    <w:rsid w:val="000671EC"/>
    <w:rsid w:val="000A2113"/>
    <w:rsid w:val="000A354B"/>
    <w:rsid w:val="000C196E"/>
    <w:rsid w:val="000D701C"/>
    <w:rsid w:val="000E1A26"/>
    <w:rsid w:val="000E2A71"/>
    <w:rsid w:val="000E4D6C"/>
    <w:rsid w:val="000F5AD2"/>
    <w:rsid w:val="0011410B"/>
    <w:rsid w:val="00160263"/>
    <w:rsid w:val="00167825"/>
    <w:rsid w:val="00181F96"/>
    <w:rsid w:val="0018231C"/>
    <w:rsid w:val="001A1371"/>
    <w:rsid w:val="001B346A"/>
    <w:rsid w:val="001E1CAD"/>
    <w:rsid w:val="001E290D"/>
    <w:rsid w:val="002144FA"/>
    <w:rsid w:val="002234D2"/>
    <w:rsid w:val="0023469A"/>
    <w:rsid w:val="00243C8A"/>
    <w:rsid w:val="00267A0E"/>
    <w:rsid w:val="002901D9"/>
    <w:rsid w:val="002976C2"/>
    <w:rsid w:val="002C40DA"/>
    <w:rsid w:val="003260FF"/>
    <w:rsid w:val="00334ADD"/>
    <w:rsid w:val="00343D95"/>
    <w:rsid w:val="00373102"/>
    <w:rsid w:val="00374341"/>
    <w:rsid w:val="00380ACD"/>
    <w:rsid w:val="00384DA7"/>
    <w:rsid w:val="003A79A4"/>
    <w:rsid w:val="003B45AB"/>
    <w:rsid w:val="003D1062"/>
    <w:rsid w:val="004058B8"/>
    <w:rsid w:val="0040711A"/>
    <w:rsid w:val="00420D7B"/>
    <w:rsid w:val="00450B21"/>
    <w:rsid w:val="00453B63"/>
    <w:rsid w:val="00455780"/>
    <w:rsid w:val="004908D8"/>
    <w:rsid w:val="00492D24"/>
    <w:rsid w:val="004956DC"/>
    <w:rsid w:val="004B0A1C"/>
    <w:rsid w:val="004D298E"/>
    <w:rsid w:val="0054472E"/>
    <w:rsid w:val="00562315"/>
    <w:rsid w:val="005662A9"/>
    <w:rsid w:val="005827D4"/>
    <w:rsid w:val="0059622A"/>
    <w:rsid w:val="005A3015"/>
    <w:rsid w:val="005C5878"/>
    <w:rsid w:val="005C7CEA"/>
    <w:rsid w:val="005D3C0B"/>
    <w:rsid w:val="005E5217"/>
    <w:rsid w:val="005F0FA4"/>
    <w:rsid w:val="005F30EE"/>
    <w:rsid w:val="0060473A"/>
    <w:rsid w:val="00630627"/>
    <w:rsid w:val="00656392"/>
    <w:rsid w:val="006646E9"/>
    <w:rsid w:val="0068781D"/>
    <w:rsid w:val="006959B0"/>
    <w:rsid w:val="006B0634"/>
    <w:rsid w:val="006B3E27"/>
    <w:rsid w:val="006B6507"/>
    <w:rsid w:val="006C104C"/>
    <w:rsid w:val="006E43F4"/>
    <w:rsid w:val="00733704"/>
    <w:rsid w:val="007576BE"/>
    <w:rsid w:val="00761849"/>
    <w:rsid w:val="0078071A"/>
    <w:rsid w:val="00793EC8"/>
    <w:rsid w:val="00800BB4"/>
    <w:rsid w:val="00817373"/>
    <w:rsid w:val="00817D80"/>
    <w:rsid w:val="00852A9A"/>
    <w:rsid w:val="00876BC6"/>
    <w:rsid w:val="00893A8A"/>
    <w:rsid w:val="008D11C9"/>
    <w:rsid w:val="008F49E1"/>
    <w:rsid w:val="0090370F"/>
    <w:rsid w:val="009269D2"/>
    <w:rsid w:val="00942135"/>
    <w:rsid w:val="009521B0"/>
    <w:rsid w:val="00981C12"/>
    <w:rsid w:val="00993C68"/>
    <w:rsid w:val="009A7E9F"/>
    <w:rsid w:val="009B1C5D"/>
    <w:rsid w:val="009E1133"/>
    <w:rsid w:val="009E5018"/>
    <w:rsid w:val="009E5456"/>
    <w:rsid w:val="00A04297"/>
    <w:rsid w:val="00A12B37"/>
    <w:rsid w:val="00A34EA8"/>
    <w:rsid w:val="00A473FF"/>
    <w:rsid w:val="00A53B98"/>
    <w:rsid w:val="00A65899"/>
    <w:rsid w:val="00A67AF5"/>
    <w:rsid w:val="00A93D50"/>
    <w:rsid w:val="00A94CA3"/>
    <w:rsid w:val="00AB6758"/>
    <w:rsid w:val="00AD014E"/>
    <w:rsid w:val="00AE40F1"/>
    <w:rsid w:val="00B10943"/>
    <w:rsid w:val="00B13763"/>
    <w:rsid w:val="00B477A4"/>
    <w:rsid w:val="00B54045"/>
    <w:rsid w:val="00B75EE3"/>
    <w:rsid w:val="00C11192"/>
    <w:rsid w:val="00C17F74"/>
    <w:rsid w:val="00C246A8"/>
    <w:rsid w:val="00C438D7"/>
    <w:rsid w:val="00C51057"/>
    <w:rsid w:val="00C639B7"/>
    <w:rsid w:val="00C71AB4"/>
    <w:rsid w:val="00C71DEE"/>
    <w:rsid w:val="00C81B50"/>
    <w:rsid w:val="00C87F1F"/>
    <w:rsid w:val="00CD1801"/>
    <w:rsid w:val="00D10EF1"/>
    <w:rsid w:val="00D2043A"/>
    <w:rsid w:val="00D42810"/>
    <w:rsid w:val="00D84435"/>
    <w:rsid w:val="00D914A7"/>
    <w:rsid w:val="00DB2C04"/>
    <w:rsid w:val="00DC1D29"/>
    <w:rsid w:val="00DD13C3"/>
    <w:rsid w:val="00DD596E"/>
    <w:rsid w:val="00DD621E"/>
    <w:rsid w:val="00DF0575"/>
    <w:rsid w:val="00DF15A0"/>
    <w:rsid w:val="00E31AD4"/>
    <w:rsid w:val="00E61B92"/>
    <w:rsid w:val="00E70E04"/>
    <w:rsid w:val="00E71938"/>
    <w:rsid w:val="00E76499"/>
    <w:rsid w:val="00EC05A7"/>
    <w:rsid w:val="00EC4B6B"/>
    <w:rsid w:val="00EF1EE5"/>
    <w:rsid w:val="00EF7CF3"/>
    <w:rsid w:val="00F56723"/>
    <w:rsid w:val="00F763B4"/>
    <w:rsid w:val="00F900C3"/>
    <w:rsid w:val="00FF2AB2"/>
    <w:rsid w:val="00FF6ECD"/>
    <w:rsid w:val="00FF7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21"/>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
    <w:basedOn w:val="Policepardfau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basedOn w:val="Policepardfaut"/>
    <w:uiPriority w:val="99"/>
    <w:semiHidden/>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74D19-E5C7-4CCB-8156-4FB9652A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471</Words>
  <Characters>2595</Characters>
  <Application>Microsoft Office Word</Application>
  <DocSecurity>0</DocSecurity>
  <Lines>21</Lines>
  <Paragraphs>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27</cp:revision>
  <cp:lastPrinted>2016-06-21T10:29:00Z</cp:lastPrinted>
  <dcterms:created xsi:type="dcterms:W3CDTF">2018-06-22T08:39:00Z</dcterms:created>
  <dcterms:modified xsi:type="dcterms:W3CDTF">2018-06-25T06:20:00Z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