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6D44E0" w:rsidP="00981901">
            <w:pPr>
              <w:suppressAutoHyphens w:val="0"/>
              <w:spacing w:after="20"/>
              <w:jc w:val="right"/>
            </w:pPr>
            <w:r w:rsidRPr="00EA1C3D">
              <w:rPr>
                <w:sz w:val="40"/>
              </w:rPr>
              <w:t>E</w:t>
            </w:r>
            <w:r>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6D44E0" w:rsidP="00E51D65">
            <w:pPr>
              <w:spacing w:before="120" w:line="420" w:lineRule="exact"/>
            </w:pPr>
            <w:r w:rsidRPr="00FB77FF">
              <w:rPr>
                <w:b/>
                <w:sz w:val="40"/>
                <w:szCs w:val="40"/>
              </w:rPr>
              <w:t>Conseil économique</w:t>
            </w:r>
            <w:r>
              <w:rPr>
                <w:b/>
                <w:sz w:val="40"/>
                <w:szCs w:val="40"/>
              </w:rPr>
              <w:t xml:space="preserve"> </w:t>
            </w:r>
            <w:r w:rsidRPr="00FB77FF">
              <w:rPr>
                <w:b/>
                <w:sz w:val="40"/>
                <w:szCs w:val="40"/>
              </w:rPr>
              <w:t>et social</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B1A93" w:rsidP="00981901">
            <w:pPr>
              <w:suppressAutoHyphens w:val="0"/>
            </w:pPr>
            <w:fldSimple w:instr=" DOCPROPERTY  date  \* MERGEFORMAT ">
              <w:r w:rsidR="006056E0" w:rsidRPr="00F43810">
                <w:t>date</w:t>
              </w:r>
            </w:fldSimple>
          </w:p>
          <w:p w:rsidR="006056E0" w:rsidRPr="00F43810" w:rsidRDefault="004B1A93" w:rsidP="00981901">
            <w:pPr>
              <w:suppressAutoHyphens w:val="0"/>
            </w:pPr>
            <w:fldSimple w:instr=" DOCPROPERTY  tlang  \* MERGEFORMAT ">
              <w:r w:rsidR="006056E0" w:rsidRPr="00F43810">
                <w:t>tlang</w:t>
              </w:r>
            </w:fldSimple>
          </w:p>
          <w:p w:rsidR="001E498C" w:rsidRPr="00F43810" w:rsidRDefault="004B1A93" w:rsidP="00981901">
            <w:pPr>
              <w:suppressAutoHyphens w:val="0"/>
            </w:pPr>
            <w:r>
              <w:t>Original </w:t>
            </w:r>
            <w:r w:rsidR="00010F8A">
              <w:t>:</w:t>
            </w:r>
            <w:r w:rsidR="001E498C" w:rsidRPr="00F43810">
              <w:t xml:space="preserve"> </w:t>
            </w:r>
            <w:fldSimple w:instr=" DOCPROPERTY  olang  \* MERGEFORMAT ">
              <w:r w:rsidR="006056E0" w:rsidRPr="00F43810">
                <w:t>olang</w:t>
              </w:r>
            </w:fldSimple>
          </w:p>
          <w:p w:rsidR="006056E0" w:rsidRPr="00F43810" w:rsidRDefault="004B1A93" w:rsidP="00981901">
            <w:pPr>
              <w:suppressAutoHyphens w:val="0"/>
            </w:pPr>
            <w:fldSimple w:instr=" DOCPROPERTY  virs  \* MERGEFORMAT ">
              <w:r w:rsidR="006056E0" w:rsidRPr="00F43810">
                <w:t>virs</w:t>
              </w:r>
            </w:fldSimple>
          </w:p>
        </w:tc>
      </w:tr>
    </w:tbl>
    <w:p w:rsidR="00AA69DF" w:rsidRDefault="006D44E0" w:rsidP="00AA69DF">
      <w:pPr>
        <w:spacing w:before="120"/>
        <w:rPr>
          <w:b/>
          <w:sz w:val="24"/>
          <w:szCs w:val="24"/>
        </w:rPr>
      </w:pPr>
      <w:r w:rsidRPr="00E043FE">
        <w:rPr>
          <w:b/>
          <w:sz w:val="24"/>
          <w:szCs w:val="24"/>
        </w:rPr>
        <w:t>Comité des droits économiques, sociaux et culturels</w:t>
      </w:r>
    </w:p>
    <w:p w:rsidR="00A03AAF" w:rsidRDefault="00A03AAF" w:rsidP="00A03AAF">
      <w:pPr>
        <w:pStyle w:val="HChG"/>
      </w:pPr>
      <w:r>
        <w:tab/>
      </w:r>
      <w:r>
        <w:tab/>
      </w:r>
      <w:r w:rsidR="00F61209" w:rsidRPr="000D2D65">
        <w:t>Observations finales</w:t>
      </w:r>
      <w:r>
        <w:t xml:space="preserve"> concernant le </w:t>
      </w:r>
      <w:fldSimple w:instr=" DOCPROPERTY  prep  \* MERGEFORMAT ">
        <w:r w:rsidRPr="001D64AF">
          <w:t>prep</w:t>
        </w:r>
      </w:fldSimple>
      <w:r w:rsidR="008F664C" w:rsidRPr="006F1AA4">
        <w:rPr>
          <w:b w:val="0"/>
          <w:sz w:val="20"/>
        </w:rPr>
        <w:footnoteReference w:customMarkFollows="1" w:id="2"/>
        <w:t>*</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color w:val="000000"/>
        </w:rPr>
      </w:pPr>
      <w:r w:rsidRPr="00120795">
        <w:rPr>
          <w:rFonts w:eastAsia="Times New Roman"/>
          <w:color w:val="000000"/>
        </w:rPr>
        <w:t>1.</w:t>
      </w:r>
      <w:r w:rsidRPr="00120795">
        <w:rPr>
          <w:rFonts w:eastAsia="Times New Roman"/>
          <w:color w:val="000000"/>
        </w:rPr>
        <w:tab/>
        <w:t xml:space="preserve">Le Comité a examiné le </w:t>
      </w:r>
      <w:r w:rsidRPr="00120795">
        <w:rPr>
          <w:rFonts w:eastAsia="Times New Roman"/>
          <w:color w:val="FF0000"/>
        </w:rPr>
        <w:t>[rapport initial] [rapport périodique] [rapport valant énième à énième rapport périodiques]</w:t>
      </w:r>
      <w:r w:rsidRPr="00120795">
        <w:rPr>
          <w:rFonts w:eastAsia="Times New Roman"/>
        </w:rPr>
        <w:t xml:space="preserve"> de </w:t>
      </w:r>
      <w:r w:rsidRPr="00120795">
        <w:rPr>
          <w:rFonts w:eastAsia="Times New Roman"/>
          <w:color w:val="FF0000"/>
        </w:rPr>
        <w:t>pays</w:t>
      </w:r>
      <w:r w:rsidRPr="00120795">
        <w:rPr>
          <w:rFonts w:eastAsia="Times New Roman"/>
          <w:color w:val="000000"/>
        </w:rPr>
        <w:t xml:space="preserve"> (E/C.12/</w:t>
      </w:r>
      <w:r w:rsidRPr="00120795">
        <w:rPr>
          <w:rFonts w:eastAsia="Times New Roman"/>
          <w:color w:val="FF0000"/>
        </w:rPr>
        <w:t>XXX</w:t>
      </w:r>
      <w:r w:rsidRPr="00120795">
        <w:rPr>
          <w:rFonts w:eastAsia="Times New Roman"/>
          <w:color w:val="000000"/>
        </w:rPr>
        <w:t>/</w:t>
      </w:r>
      <w:r w:rsidRPr="00120795">
        <w:rPr>
          <w:rFonts w:eastAsia="Times New Roman"/>
          <w:color w:val="FF0000"/>
        </w:rPr>
        <w:t>Y</w:t>
      </w:r>
      <w:r w:rsidRPr="00120795">
        <w:rPr>
          <w:rFonts w:eastAsia="Times New Roman"/>
          <w:color w:val="000000"/>
        </w:rPr>
        <w:t xml:space="preserve">) à ses </w:t>
      </w:r>
      <w:r w:rsidRPr="00120795">
        <w:rPr>
          <w:rFonts w:eastAsia="Times New Roman"/>
          <w:color w:val="FF0000"/>
        </w:rPr>
        <w:t xml:space="preserve">énième </w:t>
      </w:r>
      <w:r w:rsidRPr="00120795">
        <w:rPr>
          <w:rFonts w:eastAsia="Times New Roman"/>
        </w:rPr>
        <w:t xml:space="preserve">et </w:t>
      </w:r>
      <w:r w:rsidRPr="00120795">
        <w:rPr>
          <w:rFonts w:eastAsia="Times New Roman"/>
          <w:color w:val="FF0000"/>
        </w:rPr>
        <w:t xml:space="preserve">énième </w:t>
      </w:r>
      <w:r w:rsidRPr="00120795">
        <w:rPr>
          <w:rFonts w:eastAsia="Times New Roman"/>
          <w:color w:val="000000"/>
        </w:rPr>
        <w:t>séances (voir E/C.12/2016/SR.</w:t>
      </w:r>
      <w:r w:rsidRPr="00120795">
        <w:rPr>
          <w:rFonts w:eastAsia="Times New Roman"/>
          <w:color w:val="FF0000"/>
        </w:rPr>
        <w:t xml:space="preserve">XXX </w:t>
      </w:r>
      <w:r w:rsidRPr="00120795">
        <w:rPr>
          <w:rFonts w:eastAsia="Times New Roman"/>
          <w:color w:val="000000"/>
        </w:rPr>
        <w:t xml:space="preserve">et </w:t>
      </w:r>
      <w:r w:rsidRPr="00120795">
        <w:rPr>
          <w:rFonts w:eastAsia="Times New Roman"/>
          <w:color w:val="FF0000"/>
        </w:rPr>
        <w:t>XXX</w:t>
      </w:r>
      <w:r w:rsidRPr="00120795">
        <w:rPr>
          <w:rFonts w:eastAsia="Times New Roman"/>
          <w:color w:val="000000"/>
        </w:rPr>
        <w:t xml:space="preserve">), les </w:t>
      </w:r>
      <w:r w:rsidRPr="00120795">
        <w:rPr>
          <w:rFonts w:eastAsia="Times New Roman"/>
          <w:color w:val="FF0000"/>
        </w:rPr>
        <w:t xml:space="preserve">date </w:t>
      </w:r>
      <w:r w:rsidRPr="00120795">
        <w:rPr>
          <w:rFonts w:eastAsia="Times New Roman"/>
          <w:color w:val="000000"/>
        </w:rPr>
        <w:t xml:space="preserve">et </w:t>
      </w:r>
      <w:r w:rsidRPr="00120795">
        <w:rPr>
          <w:rFonts w:eastAsia="Times New Roman"/>
          <w:color w:val="FF0000"/>
        </w:rPr>
        <w:t>date</w:t>
      </w:r>
      <w:r w:rsidRPr="00120795">
        <w:rPr>
          <w:rFonts w:eastAsia="Times New Roman"/>
          <w:color w:val="000000"/>
        </w:rPr>
        <w:t xml:space="preserve">, et adopté les présentes observations finales à sa </w:t>
      </w:r>
      <w:r w:rsidRPr="00120795">
        <w:rPr>
          <w:rFonts w:eastAsia="Times New Roman"/>
          <w:color w:val="FF0000"/>
        </w:rPr>
        <w:t>énième</w:t>
      </w:r>
      <w:r w:rsidRPr="00120795">
        <w:rPr>
          <w:rFonts w:eastAsia="Times New Roman"/>
          <w:color w:val="000000"/>
        </w:rPr>
        <w:t xml:space="preserve"> séance, le </w:t>
      </w:r>
      <w:r w:rsidRPr="00120795">
        <w:rPr>
          <w:rFonts w:eastAsia="Times New Roman"/>
          <w:color w:val="FF0000"/>
        </w:rPr>
        <w:t>date</w:t>
      </w:r>
      <w:r w:rsidRPr="00120795">
        <w:rPr>
          <w:rFonts w:eastAsia="Times New Roman"/>
          <w:color w:val="000000"/>
        </w:rPr>
        <w:t>.</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A.</w:t>
      </w:r>
      <w:r w:rsidRPr="00120795">
        <w:rPr>
          <w:rFonts w:eastAsia="Times New Roman"/>
          <w:b/>
          <w:sz w:val="24"/>
        </w:rPr>
        <w:tab/>
        <w:t>Introduction</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B.</w:t>
      </w:r>
      <w:r w:rsidRPr="00120795">
        <w:rPr>
          <w:rFonts w:eastAsia="Times New Roman"/>
          <w:b/>
          <w:sz w:val="24"/>
        </w:rPr>
        <w:tab/>
        <w:t>Aspects positifs</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C.</w:t>
      </w:r>
      <w:r w:rsidRPr="00120795">
        <w:rPr>
          <w:rFonts w:eastAsia="Times New Roman"/>
          <w:b/>
          <w:sz w:val="24"/>
        </w:rPr>
        <w:tab/>
        <w:t>Principaux sujets de préoccupation et recommandations</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D.</w:t>
      </w:r>
      <w:r w:rsidRPr="00120795">
        <w:rPr>
          <w:rFonts w:eastAsia="Times New Roman"/>
          <w:b/>
          <w:sz w:val="24"/>
        </w:rPr>
        <w:tab/>
        <w:t>Autres recommandations</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bCs/>
        </w:rPr>
      </w:pPr>
      <w:r w:rsidRPr="00120795">
        <w:rPr>
          <w:rFonts w:eastAsia="Times New Roman"/>
          <w:bCs/>
        </w:rPr>
        <w:t>2.</w:t>
      </w:r>
      <w:r w:rsidRPr="00120795">
        <w:rPr>
          <w:rFonts w:eastAsia="Times New Roman"/>
          <w:bCs/>
        </w:rPr>
        <w:tab/>
      </w:r>
      <w:r w:rsidRPr="00120795">
        <w:rPr>
          <w:rFonts w:eastAsia="Times New Roman"/>
          <w:b/>
          <w:bCs/>
        </w:rPr>
        <w:t xml:space="preserve">Le Comité encourage l’État partie à ratifier le Protocole facultatif se rapportant au Pacte international relatif aux droits économiques, sociaux et culturels. </w:t>
      </w:r>
      <w:r w:rsidRPr="00120795">
        <w:rPr>
          <w:rFonts w:eastAsia="Times New Roman"/>
          <w:b/>
          <w:bCs/>
          <w:highlight w:val="yellow"/>
        </w:rPr>
        <w:t>[[S’il y a lieu.]]</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bCs/>
        </w:rPr>
      </w:pPr>
      <w:r w:rsidRPr="00120795">
        <w:rPr>
          <w:rFonts w:eastAsia="Times New Roman"/>
          <w:bCs/>
        </w:rPr>
        <w:t>3.</w:t>
      </w:r>
      <w:r w:rsidRPr="00120795">
        <w:rPr>
          <w:rFonts w:eastAsia="Times New Roman"/>
          <w:bCs/>
        </w:rPr>
        <w:tab/>
      </w:r>
      <w:r w:rsidRPr="00120795">
        <w:rPr>
          <w:rFonts w:eastAsia="Times New Roman"/>
          <w:b/>
          <w:bCs/>
        </w:rPr>
        <w:t xml:space="preserve">Le Comité recommande à l’État partie d’envisager de ratifier </w:t>
      </w:r>
      <w:r w:rsidRPr="00120795">
        <w:rPr>
          <w:rFonts w:eastAsia="Times New Roman"/>
          <w:b/>
          <w:bCs/>
          <w:color w:val="FF0000"/>
        </w:rPr>
        <w:t>[</w:t>
      </w:r>
      <w:r w:rsidRPr="00120795">
        <w:rPr>
          <w:rFonts w:eastAsia="Times New Roman"/>
          <w:b/>
          <w:bCs/>
        </w:rPr>
        <w:t>les instruments fondamentaux relatifs aux droits de l’homme auxquels il n’est pas encore partie, à savoir</w:t>
      </w:r>
      <w:r w:rsidRPr="00120795">
        <w:rPr>
          <w:rFonts w:eastAsia="Times New Roman"/>
          <w:b/>
          <w:bCs/>
          <w:color w:val="FF0000"/>
        </w:rPr>
        <w:t>]</w:t>
      </w:r>
      <w:r w:rsidRPr="00120795">
        <w:rPr>
          <w:rFonts w:eastAsia="Times New Roman"/>
          <w:b/>
          <w:bCs/>
          <w:color w:val="000000"/>
        </w:rPr>
        <w:t xml:space="preserve"> </w:t>
      </w:r>
      <w:r w:rsidRPr="00120795">
        <w:rPr>
          <w:rFonts w:eastAsia="Times New Roman"/>
          <w:b/>
          <w:bCs/>
          <w:color w:val="FF0000"/>
        </w:rPr>
        <w:t>[titres des instruments]</w:t>
      </w:r>
      <w:r w:rsidRPr="00120795">
        <w:rPr>
          <w:rFonts w:eastAsia="Times New Roman"/>
          <w:b/>
          <w:bCs/>
        </w:rPr>
        <w:t>.</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rPr>
      </w:pPr>
      <w:r w:rsidRPr="00120795">
        <w:rPr>
          <w:rFonts w:eastAsia="Times New Roman"/>
        </w:rPr>
        <w:t>4.</w:t>
      </w:r>
      <w:r w:rsidRPr="00120795">
        <w:rPr>
          <w:rFonts w:eastAsia="Times New Roman"/>
        </w:rPr>
        <w:tab/>
      </w:r>
      <w:r w:rsidRPr="00120795">
        <w:rPr>
          <w:rFonts w:eastAsia="Times New Roman"/>
          <w:b/>
        </w:rPr>
        <w:t>Le Comité recommande à l’État partie de tenir pleinement compte des obligations que lui impose le Pacte et de garantir le plein exercice des droits qui y sont énoncés dans la mise en œuvre au niveau national du Programme de développement durable à l’horizon 2030, avec l’aide et la coopération de la communauté internationale en cas de besoin. La réalisation des objectifs de développement durable serait grandement facilitée si l’État partie établissait des mécanismes indépendants pour suivre les progrès réalisés et s’il considérait que les bénéficiaires des programmes publics étaient détenteurs de droits qu’ils peuvent faire valoir. La mise en œuvre des objectifs dans le respect des principes de participation, de responsabilité et de non-discrimination permettrait de garantir que nul n’est laissé à l’écart.</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rPr>
      </w:pPr>
      <w:r w:rsidRPr="00120795">
        <w:rPr>
          <w:rFonts w:eastAsia="Times New Roman"/>
        </w:rPr>
        <w:t>5.</w:t>
      </w:r>
      <w:r w:rsidRPr="00120795">
        <w:rPr>
          <w:rFonts w:eastAsia="Times New Roman"/>
        </w:rPr>
        <w:tab/>
      </w:r>
      <w:r w:rsidRPr="00120795">
        <w:rPr>
          <w:rFonts w:eastAsia="Times New Roman"/>
          <w:b/>
        </w:rPr>
        <w:t xml:space="preserve">Le Comité recommande à l’État partie de prendre des mesures pour mettre au point et appliquer progressivement des indicateurs appropriés à la mise en œuvre des droits économiques, sociaux et culturels, et faciliter ainsi l’évaluation des progrès réalisés pour se conformer aux obligations que lui impose le Pacte pour diverses catégories de la population. À cet égard, il renvoie au cadre conceptuel et </w:t>
      </w:r>
      <w:r w:rsidRPr="00120795">
        <w:rPr>
          <w:rFonts w:eastAsia="Times New Roman"/>
          <w:b/>
        </w:rPr>
        <w:lastRenderedPageBreak/>
        <w:t>méthodologique concernant les indicateurs des droits de l’homme mis au point par le Haut-Commissariat des Nations Unies aux droits de l’homme (voir HRI/MC/2008/3).</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rPr>
      </w:pPr>
      <w:r w:rsidRPr="00120795">
        <w:rPr>
          <w:rFonts w:eastAsia="Times New Roman"/>
        </w:rPr>
        <w:t>6.</w:t>
      </w:r>
      <w:r w:rsidRPr="00120795">
        <w:rPr>
          <w:rFonts w:eastAsia="Times New Roman"/>
        </w:rPr>
        <w:tab/>
      </w:r>
      <w:r w:rsidRPr="00120795">
        <w:rPr>
          <w:rFonts w:eastAsia="Times New Roman"/>
          <w:b/>
          <w:bCs/>
        </w:rPr>
        <w:t xml:space="preserve">Le Comité prie l’État partie de diffuser largement les présentes observations finales à tous les niveaux de la société, aux échelons </w:t>
      </w:r>
      <w:r w:rsidRPr="00120795">
        <w:rPr>
          <w:rFonts w:eastAsia="Times New Roman"/>
          <w:b/>
          <w:bCs/>
          <w:color w:val="FF0000"/>
        </w:rPr>
        <w:t>[</w:t>
      </w:r>
      <w:r w:rsidRPr="00120795">
        <w:rPr>
          <w:rFonts w:eastAsia="Times New Roman"/>
          <w:b/>
          <w:bCs/>
        </w:rPr>
        <w:t>national, provincial et territorial</w:t>
      </w:r>
      <w:r w:rsidRPr="00120795">
        <w:rPr>
          <w:rFonts w:eastAsia="Times New Roman"/>
          <w:color w:val="FF0000"/>
        </w:rPr>
        <w:t>]</w:t>
      </w:r>
      <w:r w:rsidRPr="00120795">
        <w:rPr>
          <w:rFonts w:eastAsia="Times New Roman"/>
          <w:b/>
          <w:bCs/>
        </w:rPr>
        <w:t xml:space="preserve">, en particulier auprès des parlementaires, des fonctionnaires et des autorités judiciaires, et de l’informer dans son prochain rapport périodique des mesures prises pour y donner suite. Il l’encourage </w:t>
      </w:r>
      <w:r w:rsidRPr="00120795">
        <w:rPr>
          <w:rFonts w:eastAsia="Times New Roman"/>
          <w:b/>
          <w:bCs/>
          <w:color w:val="FF0000"/>
        </w:rPr>
        <w:t>[à associer] [à continuer d’associer]</w:t>
      </w:r>
      <w:r w:rsidRPr="00120795">
        <w:rPr>
          <w:rFonts w:eastAsia="Times New Roman"/>
          <w:b/>
          <w:bCs/>
        </w:rPr>
        <w:t xml:space="preserve"> les organisations non gouvernementales et d’autres membres de la société civile </w:t>
      </w:r>
      <w:r w:rsidRPr="00120795">
        <w:rPr>
          <w:rFonts w:eastAsia="Times New Roman"/>
          <w:b/>
          <w:bCs/>
          <w:color w:val="FF0000"/>
        </w:rPr>
        <w:t>[…]</w:t>
      </w:r>
      <w:r w:rsidRPr="00120795">
        <w:rPr>
          <w:rFonts w:eastAsia="Times New Roman"/>
          <w:b/>
          <w:bCs/>
        </w:rPr>
        <w:t xml:space="preserve">, </w:t>
      </w:r>
      <w:r w:rsidRPr="00120795">
        <w:rPr>
          <w:rFonts w:eastAsia="Times New Roman"/>
          <w:b/>
        </w:rPr>
        <w:t>au suivi des présentes observations finales et au processus de consultation nationale avant la soumission de son prochain rapport périodique</w:t>
      </w:r>
      <w:r w:rsidRPr="00120795">
        <w:rPr>
          <w:rFonts w:eastAsia="Times New Roman"/>
          <w:b/>
          <w:bCs/>
        </w:rPr>
        <w:t>.</w:t>
      </w:r>
      <w:r w:rsidRPr="00120795">
        <w:rPr>
          <w:rFonts w:eastAsia="Times New Roman"/>
          <w:b/>
          <w:bCs/>
          <w:highlight w:val="yellow"/>
        </w:rPr>
        <w:t xml:space="preserve"> [[La formulation peut varier.]]</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rPr>
      </w:pPr>
      <w:r w:rsidRPr="00120795">
        <w:rPr>
          <w:rFonts w:eastAsia="Times New Roman"/>
        </w:rPr>
        <w:t>7.</w:t>
      </w:r>
      <w:r w:rsidRPr="00120795">
        <w:rPr>
          <w:rFonts w:eastAsia="Times New Roman"/>
        </w:rPr>
        <w:tab/>
      </w:r>
      <w:r w:rsidRPr="00120795">
        <w:rPr>
          <w:rFonts w:eastAsia="Times New Roman"/>
          <w:b/>
          <w:color w:val="000000"/>
        </w:rPr>
        <w:t xml:space="preserve">Le Comité prie l’État partie de lui soumettre, le </w:t>
      </w:r>
      <w:r w:rsidRPr="00120795">
        <w:rPr>
          <w:rFonts w:eastAsia="Times New Roman"/>
          <w:b/>
          <w:color w:val="FF0000"/>
        </w:rPr>
        <w:t xml:space="preserve">date </w:t>
      </w:r>
      <w:r w:rsidRPr="00120795">
        <w:rPr>
          <w:rFonts w:eastAsia="Times New Roman"/>
          <w:b/>
          <w:color w:val="000000"/>
        </w:rPr>
        <w:t xml:space="preserve">au plus tard, son </w:t>
      </w:r>
      <w:r w:rsidRPr="00120795">
        <w:rPr>
          <w:rFonts w:eastAsia="Times New Roman"/>
          <w:b/>
          <w:color w:val="FF0000"/>
        </w:rPr>
        <w:t>énième</w:t>
      </w:r>
      <w:r w:rsidRPr="00120795">
        <w:rPr>
          <w:rFonts w:eastAsia="Times New Roman"/>
          <w:b/>
          <w:color w:val="000000"/>
        </w:rPr>
        <w:t xml:space="preserve"> rapport périodique, qui sera établi conformément aux directives concernant les rapports que le Comité a adoptées en 2008 (voir E/C.12/2008/2). </w:t>
      </w:r>
      <w:r w:rsidRPr="00120795">
        <w:rPr>
          <w:rFonts w:eastAsia="Times New Roman"/>
          <w:b/>
          <w:bCs/>
          <w:highlight w:val="yellow"/>
        </w:rPr>
        <w:t>[[S’il y a lieu:]]</w:t>
      </w:r>
      <w:r w:rsidRPr="00120795">
        <w:rPr>
          <w:rFonts w:eastAsia="Times New Roman"/>
          <w:b/>
          <w:bCs/>
        </w:rPr>
        <w:t xml:space="preserve"> </w:t>
      </w:r>
      <w:r w:rsidRPr="00120795">
        <w:rPr>
          <w:rFonts w:eastAsia="Times New Roman"/>
          <w:b/>
          <w:color w:val="000000"/>
        </w:rPr>
        <w:t>Il l’invite aussi à mettre à jour son document de base commun conformément aux directives harmonisées pour l’établissement des rapports à présenter en vertu des instruments internationaux relatifs aux droits de l’homme (voir HRI/GEN/2/Rev.6, chap. I).</w:t>
      </w:r>
    </w:p>
    <w:p w:rsidR="001777CF" w:rsidRPr="00120795" w:rsidRDefault="00120795" w:rsidP="00120795">
      <w:pPr>
        <w:pStyle w:val="SingleTxtG"/>
        <w:ind w:left="1701" w:hanging="567"/>
        <w:jc w:val="center"/>
        <w:rPr>
          <w:u w:val="single"/>
        </w:rPr>
      </w:pPr>
      <w:r w:rsidRPr="00120795">
        <w:rPr>
          <w:u w:val="single"/>
        </w:rPr>
        <w:tab/>
      </w:r>
      <w:r w:rsidRPr="00120795">
        <w:rPr>
          <w:u w:val="single"/>
        </w:rPr>
        <w:tab/>
      </w:r>
      <w:r w:rsidRPr="00120795">
        <w:rPr>
          <w:u w:val="single"/>
        </w:rPr>
        <w:tab/>
      </w:r>
    </w:p>
    <w:sectPr w:rsidR="001777CF" w:rsidRPr="00120795"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3F1C57">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B1A93"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57216"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7426B9">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8F664C" w:rsidRPr="00C318D6" w:rsidRDefault="008F664C" w:rsidP="008F664C">
      <w:pPr>
        <w:pStyle w:val="Textonotapie"/>
      </w:pPr>
      <w:r>
        <w:tab/>
      </w:r>
      <w:r w:rsidRPr="00C318D6">
        <w:rPr>
          <w:sz w:val="20"/>
        </w:rPr>
        <w:t>*</w:t>
      </w:r>
      <w:r>
        <w:rPr>
          <w:sz w:val="20"/>
        </w:rPr>
        <w:tab/>
      </w:r>
      <w:r w:rsidRPr="00C318D6">
        <w:t xml:space="preserve">Adoptées par le Comité à sa </w:t>
      </w:r>
      <w:r w:rsidRPr="00C20D86">
        <w:rPr>
          <w:color w:val="FF0000"/>
        </w:rPr>
        <w:t>[</w:t>
      </w:r>
      <w:r>
        <w:rPr>
          <w:color w:val="FF0000"/>
        </w:rPr>
        <w:t>énième</w:t>
      </w:r>
      <w:r w:rsidRPr="00C20D86">
        <w:rPr>
          <w:color w:val="FF0000"/>
        </w:rPr>
        <w:t>]</w:t>
      </w:r>
      <w:r w:rsidRPr="00C318D6">
        <w:t xml:space="preserve"> session (</w:t>
      </w:r>
      <w:r w:rsidRPr="00C20D86">
        <w:rPr>
          <w:color w:val="FF0000"/>
        </w:rPr>
        <w:t>dates</w:t>
      </w:r>
      <w:r w:rsidRPr="00C318D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B1A93">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B1A93"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457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005D2"/>
    <w:rsid w:val="00010F8A"/>
    <w:rsid w:val="00017F94"/>
    <w:rsid w:val="000219C0"/>
    <w:rsid w:val="00023842"/>
    <w:rsid w:val="000334F9"/>
    <w:rsid w:val="0007796D"/>
    <w:rsid w:val="000860BB"/>
    <w:rsid w:val="000B7790"/>
    <w:rsid w:val="000C2875"/>
    <w:rsid w:val="000C390E"/>
    <w:rsid w:val="000D6818"/>
    <w:rsid w:val="001067B9"/>
    <w:rsid w:val="00111F2F"/>
    <w:rsid w:val="00120795"/>
    <w:rsid w:val="0014365E"/>
    <w:rsid w:val="001459C9"/>
    <w:rsid w:val="00150DB2"/>
    <w:rsid w:val="00176178"/>
    <w:rsid w:val="001777CF"/>
    <w:rsid w:val="001D64AF"/>
    <w:rsid w:val="001E498C"/>
    <w:rsid w:val="001F525A"/>
    <w:rsid w:val="00223272"/>
    <w:rsid w:val="0024779E"/>
    <w:rsid w:val="00291F1D"/>
    <w:rsid w:val="002977EE"/>
    <w:rsid w:val="002A0540"/>
    <w:rsid w:val="00353ED5"/>
    <w:rsid w:val="0037014C"/>
    <w:rsid w:val="0039005B"/>
    <w:rsid w:val="003D1AD0"/>
    <w:rsid w:val="003F1369"/>
    <w:rsid w:val="003F1C57"/>
    <w:rsid w:val="0041336D"/>
    <w:rsid w:val="00437041"/>
    <w:rsid w:val="00446FE5"/>
    <w:rsid w:val="00452396"/>
    <w:rsid w:val="00475149"/>
    <w:rsid w:val="004B1A93"/>
    <w:rsid w:val="005505B7"/>
    <w:rsid w:val="00573BE5"/>
    <w:rsid w:val="00582D63"/>
    <w:rsid w:val="00586ED3"/>
    <w:rsid w:val="00596AA9"/>
    <w:rsid w:val="005973D6"/>
    <w:rsid w:val="005B6BC9"/>
    <w:rsid w:val="006056E0"/>
    <w:rsid w:val="00613A58"/>
    <w:rsid w:val="00615549"/>
    <w:rsid w:val="006910CE"/>
    <w:rsid w:val="006D44E0"/>
    <w:rsid w:val="00706E82"/>
    <w:rsid w:val="0071601D"/>
    <w:rsid w:val="007426B9"/>
    <w:rsid w:val="00766CEC"/>
    <w:rsid w:val="007A62E6"/>
    <w:rsid w:val="007D7F6D"/>
    <w:rsid w:val="0080684C"/>
    <w:rsid w:val="00815502"/>
    <w:rsid w:val="00845DFA"/>
    <w:rsid w:val="00867D17"/>
    <w:rsid w:val="00871C75"/>
    <w:rsid w:val="008776DC"/>
    <w:rsid w:val="008A0E26"/>
    <w:rsid w:val="008C7952"/>
    <w:rsid w:val="008F664C"/>
    <w:rsid w:val="00957790"/>
    <w:rsid w:val="009705C8"/>
    <w:rsid w:val="00981901"/>
    <w:rsid w:val="009E06AD"/>
    <w:rsid w:val="009F65C5"/>
    <w:rsid w:val="00A03AAF"/>
    <w:rsid w:val="00AA69DF"/>
    <w:rsid w:val="00AC3823"/>
    <w:rsid w:val="00AC7C7A"/>
    <w:rsid w:val="00AE2A62"/>
    <w:rsid w:val="00AE323C"/>
    <w:rsid w:val="00B00181"/>
    <w:rsid w:val="00B17735"/>
    <w:rsid w:val="00B33DFE"/>
    <w:rsid w:val="00B43C66"/>
    <w:rsid w:val="00B765F7"/>
    <w:rsid w:val="00B80BD3"/>
    <w:rsid w:val="00BA0CA9"/>
    <w:rsid w:val="00BC4CFE"/>
    <w:rsid w:val="00BE4745"/>
    <w:rsid w:val="00BF3C2C"/>
    <w:rsid w:val="00C02897"/>
    <w:rsid w:val="00C02B10"/>
    <w:rsid w:val="00C54ED5"/>
    <w:rsid w:val="00CA3912"/>
    <w:rsid w:val="00CC2887"/>
    <w:rsid w:val="00D00DEE"/>
    <w:rsid w:val="00D02F73"/>
    <w:rsid w:val="00D3439C"/>
    <w:rsid w:val="00DA22F4"/>
    <w:rsid w:val="00DA7434"/>
    <w:rsid w:val="00DB1831"/>
    <w:rsid w:val="00DD3BFD"/>
    <w:rsid w:val="00DF6678"/>
    <w:rsid w:val="00E018E1"/>
    <w:rsid w:val="00E22CF2"/>
    <w:rsid w:val="00E506F1"/>
    <w:rsid w:val="00E51D65"/>
    <w:rsid w:val="00E52D9F"/>
    <w:rsid w:val="00EA0791"/>
    <w:rsid w:val="00F164B0"/>
    <w:rsid w:val="00F43810"/>
    <w:rsid w:val="00F61209"/>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D00DEE"/>
    <w:pPr>
      <w:keepNext/>
      <w:keepLines/>
      <w:spacing w:after="0" w:line="240" w:lineRule="auto"/>
      <w:ind w:right="0"/>
      <w:jc w:val="left"/>
      <w:outlineLvl w:val="0"/>
    </w:pPr>
  </w:style>
  <w:style w:type="paragraph" w:styleId="Ttulo2">
    <w:name w:val="heading 2"/>
    <w:basedOn w:val="Normal"/>
    <w:next w:val="Normal"/>
    <w:link w:val="Ttulo2Car"/>
    <w:semiHidden/>
    <w:qFormat/>
    <w:rsid w:val="00D00DEE"/>
    <w:pPr>
      <w:outlineLvl w:val="1"/>
    </w:pPr>
  </w:style>
  <w:style w:type="paragraph" w:styleId="Ttulo3">
    <w:name w:val="heading 3"/>
    <w:basedOn w:val="Normal"/>
    <w:next w:val="Normal"/>
    <w:link w:val="Ttulo3Car"/>
    <w:semiHidden/>
    <w:qFormat/>
    <w:rsid w:val="00D00DEE"/>
    <w:pPr>
      <w:outlineLvl w:val="2"/>
    </w:pPr>
  </w:style>
  <w:style w:type="paragraph" w:styleId="Ttulo4">
    <w:name w:val="heading 4"/>
    <w:basedOn w:val="Normal"/>
    <w:next w:val="Normal"/>
    <w:link w:val="Ttulo4Car"/>
    <w:semiHidden/>
    <w:qFormat/>
    <w:rsid w:val="00D00DEE"/>
    <w:pPr>
      <w:outlineLvl w:val="3"/>
    </w:pPr>
  </w:style>
  <w:style w:type="paragraph" w:styleId="Ttulo5">
    <w:name w:val="heading 5"/>
    <w:basedOn w:val="Normal"/>
    <w:next w:val="Normal"/>
    <w:link w:val="Ttulo5Car"/>
    <w:semiHidden/>
    <w:qFormat/>
    <w:rsid w:val="00D00DEE"/>
    <w:pPr>
      <w:outlineLvl w:val="4"/>
    </w:pPr>
  </w:style>
  <w:style w:type="paragraph" w:styleId="Ttulo6">
    <w:name w:val="heading 6"/>
    <w:basedOn w:val="Normal"/>
    <w:next w:val="Normal"/>
    <w:link w:val="Ttulo6Car"/>
    <w:semiHidden/>
    <w:qFormat/>
    <w:rsid w:val="00D00DEE"/>
    <w:pPr>
      <w:outlineLvl w:val="5"/>
    </w:pPr>
  </w:style>
  <w:style w:type="paragraph" w:styleId="Ttulo7">
    <w:name w:val="heading 7"/>
    <w:basedOn w:val="Normal"/>
    <w:next w:val="Normal"/>
    <w:link w:val="Ttulo7Car"/>
    <w:semiHidden/>
    <w:qFormat/>
    <w:rsid w:val="00D00DEE"/>
    <w:pPr>
      <w:outlineLvl w:val="6"/>
    </w:pPr>
  </w:style>
  <w:style w:type="paragraph" w:styleId="Ttulo8">
    <w:name w:val="heading 8"/>
    <w:basedOn w:val="Normal"/>
    <w:next w:val="Normal"/>
    <w:link w:val="Ttulo8Car"/>
    <w:semiHidden/>
    <w:qFormat/>
    <w:rsid w:val="00D00DEE"/>
    <w:pPr>
      <w:outlineLvl w:val="7"/>
    </w:pPr>
  </w:style>
  <w:style w:type="paragraph" w:styleId="Ttulo9">
    <w:name w:val="heading 9"/>
    <w:basedOn w:val="Normal"/>
    <w:next w:val="Normal"/>
    <w:link w:val="Ttulo9Car"/>
    <w:semiHidden/>
    <w:qFormat/>
    <w:rsid w:val="00D00DE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D00DEE"/>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D00DEE"/>
    <w:rPr>
      <w:rFonts w:ascii="Times New Roman" w:hAnsi="Times New Roman" w:cs="Times New Roman"/>
      <w:b/>
      <w:sz w:val="18"/>
      <w:szCs w:val="20"/>
    </w:rPr>
  </w:style>
  <w:style w:type="paragraph" w:styleId="Piedepgina">
    <w:name w:val="footer"/>
    <w:aliases w:val="3_G"/>
    <w:basedOn w:val="Normal"/>
    <w:next w:val="Normal"/>
    <w:link w:val="PiedepginaCar"/>
    <w:qFormat/>
    <w:rsid w:val="00D00DEE"/>
    <w:pPr>
      <w:spacing w:line="240" w:lineRule="auto"/>
    </w:pPr>
    <w:rPr>
      <w:sz w:val="16"/>
    </w:rPr>
  </w:style>
  <w:style w:type="character" w:customStyle="1" w:styleId="PiedepginaCar">
    <w:name w:val="Pie de página Car"/>
    <w:aliases w:val="3_G Car"/>
    <w:basedOn w:val="Fuentedeprrafopredeter"/>
    <w:link w:val="Piedepgina"/>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D00DEE"/>
    <w:rPr>
      <w:rFonts w:ascii="Times New Roman" w:hAnsi="Times New Roman"/>
      <w:sz w:val="18"/>
      <w:vertAlign w:val="superscript"/>
      <w:lang w:val="fr-CH"/>
    </w:rPr>
  </w:style>
  <w:style w:type="character" w:styleId="Refdenotaalfinal">
    <w:name w:val="endnote reference"/>
    <w:aliases w:val="1_G"/>
    <w:basedOn w:val="Refdenotaalpie"/>
    <w:qFormat/>
    <w:rsid w:val="00D00DEE"/>
    <w:rPr>
      <w:rFonts w:ascii="Times New Roman" w:hAnsi="Times New Roman"/>
      <w:sz w:val="18"/>
      <w:vertAlign w:val="superscript"/>
      <w:lang w:val="fr-CH"/>
    </w:rPr>
  </w:style>
  <w:style w:type="table" w:styleId="Tablaconcuadrcula">
    <w:name w:val="Table Grid"/>
    <w:basedOn w:val="Tabla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D00DEE"/>
    <w:rPr>
      <w:color w:val="0000FF"/>
      <w:u w:val="none"/>
    </w:rPr>
  </w:style>
  <w:style w:type="character" w:styleId="Hipervnculovisitado">
    <w:name w:val="FollowedHyperlink"/>
    <w:basedOn w:val="Fuentedeprrafopredeter"/>
    <w:unhideWhenUsed/>
    <w:rsid w:val="00D00DEE"/>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00DEE"/>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D00DEE"/>
    <w:rPr>
      <w:rFonts w:ascii="Times New Roman" w:hAnsi="Times New Roman" w:cs="Times New Roman"/>
      <w:sz w:val="18"/>
      <w:szCs w:val="20"/>
    </w:rPr>
  </w:style>
  <w:style w:type="paragraph" w:styleId="Textonotaalfinal">
    <w:name w:val="endnote text"/>
    <w:aliases w:val="2_G"/>
    <w:basedOn w:val="Textonotapie"/>
    <w:link w:val="TextonotaalfinalCar"/>
    <w:qFormat/>
    <w:rsid w:val="00D00DEE"/>
  </w:style>
  <w:style w:type="character" w:customStyle="1" w:styleId="TextonotaalfinalCar">
    <w:name w:val="Texto nota al final Car"/>
    <w:aliases w:val="2_G Car"/>
    <w:basedOn w:val="Fuentedeprrafopredeter"/>
    <w:link w:val="Textonotaalfinal"/>
    <w:rsid w:val="00D00DEE"/>
    <w:rPr>
      <w:rFonts w:ascii="Times New Roman" w:hAnsi="Times New Roman" w:cs="Times New Roman"/>
      <w:sz w:val="18"/>
      <w:szCs w:val="20"/>
    </w:rPr>
  </w:style>
  <w:style w:type="character" w:styleId="Nmerodepgina">
    <w:name w:val="page number"/>
    <w:aliases w:val="7_G"/>
    <w:basedOn w:val="Fuentedeprrafopredeter"/>
    <w:qFormat/>
    <w:rsid w:val="00D00DEE"/>
    <w:rPr>
      <w:rFonts w:ascii="Times New Roman" w:hAnsi="Times New Roman"/>
      <w:b/>
      <w:sz w:val="18"/>
      <w:lang w:val="fr-CH"/>
    </w:rPr>
  </w:style>
  <w:style w:type="character" w:customStyle="1" w:styleId="Ttulo1Car">
    <w:name w:val="Título 1 Car"/>
    <w:aliases w:val="Table_G Car"/>
    <w:basedOn w:val="Fuentedeprrafopredeter"/>
    <w:link w:val="Ttulo1"/>
    <w:rsid w:val="00D00DEE"/>
    <w:rPr>
      <w:rFonts w:ascii="Times New Roman" w:hAnsi="Times New Roman" w:cs="Times New Roman"/>
      <w:sz w:val="20"/>
      <w:szCs w:val="20"/>
    </w:rPr>
  </w:style>
  <w:style w:type="character" w:customStyle="1" w:styleId="Ttulo2Car">
    <w:name w:val="Título 2 Car"/>
    <w:basedOn w:val="Fuentedeprrafopredeter"/>
    <w:link w:val="Ttulo2"/>
    <w:semiHidden/>
    <w:rsid w:val="00D00DEE"/>
    <w:rPr>
      <w:rFonts w:ascii="Times New Roman" w:hAnsi="Times New Roman" w:cs="Times New Roman"/>
      <w:sz w:val="20"/>
      <w:szCs w:val="20"/>
    </w:rPr>
  </w:style>
  <w:style w:type="character" w:customStyle="1" w:styleId="Ttulo3Car">
    <w:name w:val="Título 3 Car"/>
    <w:basedOn w:val="Fuentedeprrafopredeter"/>
    <w:link w:val="Ttulo3"/>
    <w:semiHidden/>
    <w:rsid w:val="00D00DEE"/>
    <w:rPr>
      <w:rFonts w:ascii="Times New Roman" w:hAnsi="Times New Roman" w:cs="Times New Roman"/>
      <w:sz w:val="20"/>
      <w:szCs w:val="20"/>
    </w:rPr>
  </w:style>
  <w:style w:type="character" w:customStyle="1" w:styleId="Ttulo4Car">
    <w:name w:val="Título 4 Car"/>
    <w:basedOn w:val="Fuentedeprrafopredeter"/>
    <w:link w:val="Ttulo4"/>
    <w:semiHidden/>
    <w:rsid w:val="00D00DEE"/>
    <w:rPr>
      <w:rFonts w:ascii="Times New Roman" w:hAnsi="Times New Roman" w:cs="Times New Roman"/>
      <w:sz w:val="20"/>
      <w:szCs w:val="20"/>
    </w:rPr>
  </w:style>
  <w:style w:type="character" w:customStyle="1" w:styleId="Ttulo5Car">
    <w:name w:val="Título 5 Car"/>
    <w:basedOn w:val="Fuentedeprrafopredeter"/>
    <w:link w:val="Ttulo5"/>
    <w:semiHidden/>
    <w:rsid w:val="00D00DEE"/>
    <w:rPr>
      <w:rFonts w:ascii="Times New Roman" w:hAnsi="Times New Roman" w:cs="Times New Roman"/>
      <w:sz w:val="20"/>
      <w:szCs w:val="20"/>
    </w:rPr>
  </w:style>
  <w:style w:type="character" w:customStyle="1" w:styleId="Ttulo6Car">
    <w:name w:val="Título 6 Car"/>
    <w:basedOn w:val="Fuentedeprrafopredeter"/>
    <w:link w:val="Ttulo6"/>
    <w:semiHidden/>
    <w:rsid w:val="00D00DEE"/>
    <w:rPr>
      <w:rFonts w:ascii="Times New Roman" w:hAnsi="Times New Roman" w:cs="Times New Roman"/>
      <w:sz w:val="20"/>
      <w:szCs w:val="20"/>
    </w:rPr>
  </w:style>
  <w:style w:type="character" w:customStyle="1" w:styleId="Ttulo7Car">
    <w:name w:val="Título 7 Car"/>
    <w:basedOn w:val="Fuentedeprrafopredeter"/>
    <w:link w:val="Ttulo7"/>
    <w:semiHidden/>
    <w:rsid w:val="00D00DEE"/>
    <w:rPr>
      <w:rFonts w:ascii="Times New Roman" w:hAnsi="Times New Roman" w:cs="Times New Roman"/>
      <w:sz w:val="20"/>
      <w:szCs w:val="20"/>
    </w:rPr>
  </w:style>
  <w:style w:type="character" w:customStyle="1" w:styleId="Ttulo8Car">
    <w:name w:val="Título 8 Car"/>
    <w:basedOn w:val="Fuentedeprrafopredeter"/>
    <w:link w:val="Ttulo8"/>
    <w:semiHidden/>
    <w:rsid w:val="00D00DEE"/>
    <w:rPr>
      <w:rFonts w:ascii="Times New Roman" w:hAnsi="Times New Roman" w:cs="Times New Roman"/>
      <w:sz w:val="20"/>
      <w:szCs w:val="20"/>
    </w:rPr>
  </w:style>
  <w:style w:type="character" w:customStyle="1" w:styleId="Ttulo9Car">
    <w:name w:val="Título 9 Car"/>
    <w:basedOn w:val="Fuentedeprrafopredeter"/>
    <w:link w:val="Ttulo9"/>
    <w:semiHidden/>
    <w:rsid w:val="00D00DEE"/>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588</Words>
  <Characters>3239</Characters>
  <Application>Microsoft Office Word</Application>
  <DocSecurity>0</DocSecurity>
  <Lines>26</Lines>
  <Paragraphs>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9</cp:revision>
  <cp:lastPrinted>2017-02-27T14:31:00Z</cp:lastPrinted>
  <dcterms:created xsi:type="dcterms:W3CDTF">2018-03-21T14:05:00Z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