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852D1B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852D1B" w:rsidRDefault="00D44142" w:rsidP="00D44142">
            <w:bookmarkStart w:id="0" w:name="_GoBack"/>
            <w:bookmarkEnd w:id="0"/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852D1B" w:rsidRDefault="00D44142" w:rsidP="00D44142">
            <w:pPr>
              <w:spacing w:after="80" w:line="300" w:lineRule="exact"/>
              <w:rPr>
                <w:sz w:val="28"/>
              </w:rPr>
            </w:pPr>
            <w:r w:rsidRPr="00852D1B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852D1B" w:rsidRDefault="00607466" w:rsidP="00840C1C">
            <w:pPr>
              <w:spacing w:after="20"/>
              <w:jc w:val="right"/>
            </w:pPr>
            <w:r w:rsidRPr="00852D1B">
              <w:rPr>
                <w:sz w:val="40"/>
              </w:rPr>
              <w:t>C</w:t>
            </w:r>
            <w:r w:rsidR="00840C1C" w:rsidRPr="00852D1B">
              <w:rPr>
                <w:sz w:val="40"/>
              </w:rPr>
              <w:t>MW</w:t>
            </w:r>
            <w:r w:rsidR="00D44142" w:rsidRPr="00852D1B">
              <w:t>/</w:t>
            </w:r>
            <w:fldSimple w:instr=" DOCPROPERTY  sym1  \* MERGEFORMAT ">
              <w:r w:rsidR="00F520C6" w:rsidRPr="00852D1B">
                <w:t>sym1</w:t>
              </w:r>
            </w:fldSimple>
          </w:p>
        </w:tc>
      </w:tr>
      <w:tr w:rsidR="002D5AAC" w:rsidRPr="00852D1B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852D1B" w:rsidRDefault="002E5067" w:rsidP="00F90E40">
            <w:pPr>
              <w:spacing w:before="120"/>
              <w:jc w:val="center"/>
            </w:pPr>
            <w:r w:rsidRPr="00852D1B">
              <w:rPr>
                <w:noProof/>
                <w:lang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852D1B" w:rsidRDefault="00840C1C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852D1B">
              <w:rPr>
                <w:b/>
                <w:sz w:val="34"/>
                <w:szCs w:val="40"/>
              </w:rPr>
              <w:t>Международная конвенция</w:t>
            </w:r>
            <w:r w:rsidRPr="00852D1B">
              <w:rPr>
                <w:b/>
                <w:sz w:val="34"/>
                <w:szCs w:val="40"/>
              </w:rPr>
              <w:br/>
              <w:t>о защите прав всех трудящихся-мигрантов и членов их семей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852D1B" w:rsidRDefault="00207121" w:rsidP="00207121">
            <w:pPr>
              <w:spacing w:before="240" w:line="240" w:lineRule="exact"/>
            </w:pPr>
            <w:r w:rsidRPr="00852D1B">
              <w:t xml:space="preserve">Distr.: </w:t>
            </w:r>
            <w:r w:rsidRPr="00852D1B">
              <w:fldChar w:fldCharType="begin"/>
            </w:r>
            <w:r w:rsidRPr="00852D1B">
              <w:instrText xml:space="preserve"> DOCPROPERTY  dist  \* MERGEFORMAT </w:instrText>
            </w:r>
            <w:r w:rsidRPr="00852D1B">
              <w:fldChar w:fldCharType="separate"/>
            </w:r>
            <w:proofErr w:type="spellStart"/>
            <w:r w:rsidR="00F520C6" w:rsidRPr="00852D1B">
              <w:t>dist</w:t>
            </w:r>
            <w:proofErr w:type="spellEnd"/>
            <w:r w:rsidRPr="00852D1B">
              <w:fldChar w:fldCharType="end"/>
            </w:r>
          </w:p>
          <w:p w:rsidR="00207121" w:rsidRPr="00852D1B" w:rsidRDefault="00207121" w:rsidP="00207121">
            <w:r w:rsidRPr="00852D1B">
              <w:fldChar w:fldCharType="begin"/>
            </w:r>
            <w:r w:rsidRPr="00852D1B">
              <w:instrText xml:space="preserve"> DOCPROPERTY  date  \* MERGEFORMAT </w:instrText>
            </w:r>
            <w:r w:rsidRPr="00852D1B">
              <w:fldChar w:fldCharType="separate"/>
            </w:r>
            <w:proofErr w:type="spellStart"/>
            <w:r w:rsidR="00F520C6" w:rsidRPr="00852D1B">
              <w:t>date</w:t>
            </w:r>
            <w:proofErr w:type="spellEnd"/>
            <w:r w:rsidRPr="00852D1B">
              <w:fldChar w:fldCharType="end"/>
            </w:r>
          </w:p>
          <w:p w:rsidR="00207121" w:rsidRPr="00852D1B" w:rsidRDefault="00207121" w:rsidP="00207121">
            <w:r w:rsidRPr="00852D1B">
              <w:fldChar w:fldCharType="begin"/>
            </w:r>
            <w:r w:rsidRPr="00852D1B">
              <w:instrText xml:space="preserve"> DOCPROPERTY  tlang  \* MERGEFORMAT </w:instrText>
            </w:r>
            <w:r w:rsidRPr="00852D1B">
              <w:fldChar w:fldCharType="separate"/>
            </w:r>
            <w:proofErr w:type="spellStart"/>
            <w:r w:rsidR="00F520C6" w:rsidRPr="00852D1B">
              <w:t>tlang</w:t>
            </w:r>
            <w:proofErr w:type="spellEnd"/>
            <w:r w:rsidRPr="00852D1B">
              <w:fldChar w:fldCharType="end"/>
            </w:r>
          </w:p>
          <w:p w:rsidR="00207121" w:rsidRPr="00852D1B" w:rsidRDefault="00207121" w:rsidP="00207121">
            <w:proofErr w:type="spellStart"/>
            <w:r w:rsidRPr="00852D1B">
              <w:t>Original</w:t>
            </w:r>
            <w:proofErr w:type="spellEnd"/>
            <w:r w:rsidRPr="00852D1B">
              <w:t xml:space="preserve">: </w:t>
            </w:r>
            <w:r w:rsidRPr="00852D1B">
              <w:fldChar w:fldCharType="begin"/>
            </w:r>
            <w:r w:rsidRPr="00852D1B">
              <w:instrText xml:space="preserve"> DOCPROPERTY  olang  \* MERGEFORMAT </w:instrText>
            </w:r>
            <w:r w:rsidRPr="00852D1B">
              <w:fldChar w:fldCharType="separate"/>
            </w:r>
            <w:proofErr w:type="spellStart"/>
            <w:r w:rsidR="00F520C6" w:rsidRPr="00852D1B">
              <w:t>olang</w:t>
            </w:r>
            <w:proofErr w:type="spellEnd"/>
            <w:r w:rsidRPr="00852D1B">
              <w:fldChar w:fldCharType="end"/>
            </w:r>
          </w:p>
          <w:p w:rsidR="002D5AAC" w:rsidRPr="00852D1B" w:rsidRDefault="00207121" w:rsidP="00A90C18">
            <w:r w:rsidRPr="00852D1B">
              <w:fldChar w:fldCharType="begin"/>
            </w:r>
            <w:r w:rsidRPr="00852D1B">
              <w:instrText xml:space="preserve"> DOCPROPERTY  virs  \* MERGEFORMAT </w:instrText>
            </w:r>
            <w:r w:rsidRPr="00852D1B">
              <w:fldChar w:fldCharType="separate"/>
            </w:r>
            <w:proofErr w:type="spellStart"/>
            <w:r w:rsidR="00F520C6" w:rsidRPr="00852D1B">
              <w:t>virs</w:t>
            </w:r>
            <w:proofErr w:type="spellEnd"/>
            <w:r w:rsidRPr="00852D1B">
              <w:fldChar w:fldCharType="end"/>
            </w:r>
          </w:p>
        </w:tc>
      </w:tr>
    </w:tbl>
    <w:p w:rsidR="00840C1C" w:rsidRPr="00852D1B" w:rsidRDefault="00840C1C" w:rsidP="00840C1C">
      <w:pPr>
        <w:spacing w:before="120"/>
        <w:rPr>
          <w:b/>
          <w:sz w:val="24"/>
          <w:szCs w:val="24"/>
        </w:rPr>
      </w:pPr>
      <w:r w:rsidRPr="00852D1B">
        <w:rPr>
          <w:b/>
          <w:sz w:val="24"/>
          <w:szCs w:val="24"/>
        </w:rPr>
        <w:t>Комитет по защите прав всех трудящихся-</w:t>
      </w:r>
      <w:r w:rsidRPr="00852D1B">
        <w:rPr>
          <w:b/>
          <w:sz w:val="24"/>
          <w:szCs w:val="24"/>
        </w:rPr>
        <w:br/>
        <w:t>мигрантов и членов их семей</w:t>
      </w:r>
    </w:p>
    <w:p w:rsidR="001C3058" w:rsidRPr="00852D1B" w:rsidRDefault="001C3058" w:rsidP="001C3058">
      <w:pPr>
        <w:pStyle w:val="HChG"/>
      </w:pPr>
      <w:r w:rsidRPr="00852D1B">
        <w:tab/>
      </w:r>
      <w:r w:rsidRPr="00852D1B">
        <w:tab/>
        <w:t xml:space="preserve">Заключительные замечания по </w:t>
      </w:r>
      <w:r w:rsidRPr="00852D1B">
        <w:rPr>
          <w:color w:val="FF0000"/>
        </w:rPr>
        <w:t>[первоначальному] [объединенным номера периодическим] [номер периодическому]</w:t>
      </w:r>
      <w:r w:rsidRPr="00852D1B">
        <w:t xml:space="preserve"> докладу/</w:t>
      </w:r>
      <w:r w:rsidRPr="00852D1B">
        <w:rPr>
          <w:color w:val="FF0000"/>
        </w:rPr>
        <w:t>докладам страны</w:t>
      </w:r>
      <w:r w:rsidRPr="00852D1B">
        <w:rPr>
          <w:rStyle w:val="Appelnotedebasdep"/>
          <w:b w:val="0"/>
          <w:spacing w:val="5"/>
          <w:w w:val="104"/>
          <w:sz w:val="20"/>
          <w:vertAlign w:val="baseline"/>
        </w:rPr>
        <w:footnoteReference w:customMarkFollows="1" w:id="1"/>
        <w:t>*</w:t>
      </w:r>
    </w:p>
    <w:p w:rsidR="00852D1B" w:rsidRPr="00852D1B" w:rsidRDefault="001C3058" w:rsidP="001C3058">
      <w:pPr>
        <w:pStyle w:val="SingleTxtG"/>
      </w:pPr>
      <w:r w:rsidRPr="00852D1B">
        <w:t>1.</w:t>
      </w:r>
      <w:r w:rsidRPr="00852D1B">
        <w:tab/>
        <w:t xml:space="preserve">Комитет рассмотрел </w:t>
      </w:r>
      <w:r w:rsidRPr="00852D1B">
        <w:rPr>
          <w:color w:val="FF0000"/>
        </w:rPr>
        <w:t>[первоначальный] [объединенные номера периодические] [номер периодический]</w:t>
      </w:r>
      <w:r w:rsidRPr="00852D1B">
        <w:t xml:space="preserve"> доклад/</w:t>
      </w:r>
      <w:r w:rsidRPr="00852D1B">
        <w:rPr>
          <w:color w:val="FF0000"/>
        </w:rPr>
        <w:t>доклады страны</w:t>
      </w:r>
      <w:r w:rsidRPr="00852D1B">
        <w:t xml:space="preserve"> (CMW/C/</w:t>
      </w:r>
      <w:r w:rsidRPr="00852D1B">
        <w:rPr>
          <w:color w:val="FF0000"/>
        </w:rPr>
        <w:t>XXX</w:t>
      </w:r>
      <w:r w:rsidRPr="00852D1B">
        <w:t xml:space="preserve">/1) на своих </w:t>
      </w:r>
      <w:r w:rsidRPr="00852D1B">
        <w:rPr>
          <w:color w:val="FF0000"/>
        </w:rPr>
        <w:t xml:space="preserve">номер </w:t>
      </w:r>
      <w:r w:rsidRPr="00852D1B">
        <w:t xml:space="preserve">и </w:t>
      </w:r>
      <w:r w:rsidRPr="00852D1B">
        <w:rPr>
          <w:color w:val="FF0000"/>
        </w:rPr>
        <w:t xml:space="preserve">номер </w:t>
      </w:r>
      <w:r w:rsidRPr="00852D1B">
        <w:t>заседаниях (см. CMW/C/SR.</w:t>
      </w:r>
      <w:r w:rsidRPr="00852D1B">
        <w:rPr>
          <w:color w:val="FF0000"/>
        </w:rPr>
        <w:t xml:space="preserve">XXX </w:t>
      </w:r>
      <w:r w:rsidRPr="00852D1B">
        <w:t xml:space="preserve">и </w:t>
      </w:r>
      <w:r w:rsidRPr="00852D1B">
        <w:rPr>
          <w:color w:val="FF0000"/>
        </w:rPr>
        <w:t>XXX</w:t>
      </w:r>
      <w:r w:rsidRPr="00852D1B">
        <w:t xml:space="preserve">), состоявшихся </w:t>
      </w:r>
      <w:r w:rsidRPr="00852D1B">
        <w:rPr>
          <w:color w:val="FF0000"/>
        </w:rPr>
        <w:t xml:space="preserve">дата </w:t>
      </w:r>
      <w:r w:rsidRPr="00852D1B">
        <w:t xml:space="preserve">и </w:t>
      </w:r>
      <w:r w:rsidRPr="00852D1B">
        <w:rPr>
          <w:color w:val="FF0000"/>
        </w:rPr>
        <w:t>дата</w:t>
      </w:r>
      <w:r w:rsidRPr="00852D1B">
        <w:t xml:space="preserve">. На своем </w:t>
      </w:r>
      <w:r w:rsidRPr="00852D1B">
        <w:rPr>
          <w:color w:val="FF0000"/>
        </w:rPr>
        <w:t xml:space="preserve">номер </w:t>
      </w:r>
      <w:r w:rsidRPr="00852D1B">
        <w:t xml:space="preserve">заседании, состоявшемся </w:t>
      </w:r>
      <w:r w:rsidRPr="00852D1B">
        <w:rPr>
          <w:color w:val="FF0000"/>
        </w:rPr>
        <w:t>дата</w:t>
      </w:r>
      <w:r w:rsidRPr="00852D1B">
        <w:t>, он принял настоящие заключительные замечания.</w:t>
      </w:r>
    </w:p>
    <w:p w:rsidR="001C3058" w:rsidRPr="00852D1B" w:rsidRDefault="001C3058" w:rsidP="001C3058">
      <w:pPr>
        <w:pStyle w:val="H1G"/>
      </w:pPr>
      <w:r w:rsidRPr="00852D1B">
        <w:tab/>
        <w:t>A.</w:t>
      </w:r>
      <w:r w:rsidRPr="00852D1B">
        <w:tab/>
        <w:t>Введение</w:t>
      </w:r>
    </w:p>
    <w:p w:rsidR="001C3058" w:rsidRPr="00852D1B" w:rsidRDefault="001C3058" w:rsidP="001C3058">
      <w:pPr>
        <w:pStyle w:val="SingleTxtG"/>
      </w:pPr>
      <w:r w:rsidRPr="00852D1B">
        <w:t>2.</w:t>
      </w:r>
      <w:r w:rsidRPr="00852D1B">
        <w:tab/>
        <w:t xml:space="preserve">Комитет приветствует представление </w:t>
      </w:r>
      <w:r w:rsidRPr="00852D1B">
        <w:rPr>
          <w:color w:val="FF0000"/>
        </w:rPr>
        <w:t>[первоначального] [объединенных номера периодических] [номер периодического]</w:t>
      </w:r>
      <w:r w:rsidRPr="00852D1B">
        <w:t xml:space="preserve"> доклада/</w:t>
      </w:r>
      <w:r w:rsidRPr="00852D1B">
        <w:rPr>
          <w:color w:val="FF0000"/>
        </w:rPr>
        <w:t xml:space="preserve">докладов </w:t>
      </w:r>
      <w:r w:rsidRPr="00852D1B">
        <w:t xml:space="preserve">государства-участника, подготовленного/подготовленных в ответ на перечень вопросов, </w:t>
      </w:r>
      <w:r w:rsidRPr="00852D1B">
        <w:rPr>
          <w:color w:val="FF0000"/>
        </w:rPr>
        <w:t>[</w:t>
      </w:r>
      <w:r w:rsidRPr="00852D1B">
        <w:t>направляемый до представления доклада</w:t>
      </w:r>
      <w:r w:rsidRPr="00852D1B">
        <w:rPr>
          <w:color w:val="FF0000"/>
        </w:rPr>
        <w:t>]</w:t>
      </w:r>
      <w:r w:rsidRPr="00852D1B">
        <w:t xml:space="preserve"> (</w:t>
      </w:r>
      <w:r w:rsidRPr="00852D1B">
        <w:rPr>
          <w:color w:val="FF0000"/>
        </w:rPr>
        <w:t>[</w:t>
      </w:r>
      <w:r w:rsidRPr="00852D1B">
        <w:t>CMW/C/</w:t>
      </w:r>
      <w:r w:rsidRPr="00852D1B">
        <w:rPr>
          <w:color w:val="FF0000"/>
        </w:rPr>
        <w:t>XXX</w:t>
      </w:r>
      <w:r w:rsidRPr="00852D1B">
        <w:t>/Q/1</w:t>
      </w:r>
      <w:r w:rsidRPr="00852D1B">
        <w:rPr>
          <w:color w:val="FF0000"/>
        </w:rPr>
        <w:t>]</w:t>
      </w:r>
      <w:r w:rsidRPr="00852D1B">
        <w:t xml:space="preserve"> </w:t>
      </w:r>
      <w:r w:rsidRPr="00852D1B">
        <w:rPr>
          <w:color w:val="FF0000"/>
        </w:rPr>
        <w:t>[</w:t>
      </w:r>
      <w:r w:rsidRPr="00852D1B">
        <w:t>CMW/C/</w:t>
      </w:r>
      <w:r w:rsidRPr="00852D1B">
        <w:rPr>
          <w:color w:val="FF0000"/>
        </w:rPr>
        <w:t>XXX</w:t>
      </w:r>
      <w:r w:rsidRPr="00852D1B">
        <w:t>/ QPR/</w:t>
      </w:r>
      <w:r w:rsidRPr="00852D1B">
        <w:rPr>
          <w:color w:val="FF0000"/>
        </w:rPr>
        <w:t>Y]</w:t>
      </w:r>
      <w:r w:rsidRPr="00852D1B">
        <w:t xml:space="preserve">). Комитет высоко оценивает открытый и конструктивный диалог, состоявшийся с делегацией </w:t>
      </w:r>
      <w:r w:rsidRPr="00852D1B">
        <w:rPr>
          <w:color w:val="FF0000"/>
        </w:rPr>
        <w:t>[</w:t>
      </w:r>
      <w:r w:rsidRPr="00852D1B">
        <w:t>высокого уровня</w:t>
      </w:r>
      <w:r w:rsidRPr="00852D1B">
        <w:rPr>
          <w:color w:val="FF0000"/>
        </w:rPr>
        <w:t>]...</w:t>
      </w:r>
      <w:r w:rsidRPr="00852D1B">
        <w:t>.</w:t>
      </w:r>
    </w:p>
    <w:p w:rsidR="001C3058" w:rsidRPr="00852D1B" w:rsidRDefault="001C3058" w:rsidP="001C3058">
      <w:pPr>
        <w:pStyle w:val="H1G"/>
      </w:pPr>
      <w:r w:rsidRPr="00852D1B">
        <w:tab/>
        <w:t>B.</w:t>
      </w:r>
      <w:r w:rsidRPr="00852D1B">
        <w:tab/>
        <w:t>Позитивные аспекты</w:t>
      </w:r>
    </w:p>
    <w:p w:rsidR="00852D1B" w:rsidRPr="00852D1B" w:rsidRDefault="001C3058" w:rsidP="001C3058">
      <w:pPr>
        <w:pStyle w:val="SingleTxtG"/>
      </w:pPr>
      <w:r w:rsidRPr="00852D1B">
        <w:t>4.</w:t>
      </w:r>
      <w:r w:rsidRPr="00852D1B">
        <w:tab/>
        <w:t>Комитет с удовлетворением отмечает ратификацию или присоединение к следующим договорам:</w:t>
      </w:r>
    </w:p>
    <w:p w:rsidR="00852D1B" w:rsidRPr="00852D1B" w:rsidRDefault="001C3058" w:rsidP="00DD344B">
      <w:pPr>
        <w:pStyle w:val="SingleTxtG"/>
        <w:ind w:firstLine="567"/>
      </w:pPr>
      <w:r w:rsidRPr="00852D1B">
        <w:tab/>
        <w:t>а)</w:t>
      </w:r>
      <w:r w:rsidRPr="00852D1B">
        <w:tab/>
      </w:r>
      <w:r w:rsidRPr="00852D1B">
        <w:rPr>
          <w:color w:val="FF0000"/>
        </w:rPr>
        <w:t>…</w:t>
      </w:r>
      <w:r w:rsidRPr="00852D1B">
        <w:t xml:space="preserve">, </w:t>
      </w:r>
      <w:r w:rsidRPr="00852D1B">
        <w:rPr>
          <w:color w:val="FF0000"/>
        </w:rPr>
        <w:t>дата</w:t>
      </w:r>
      <w:r w:rsidRPr="00852D1B">
        <w:t>;</w:t>
      </w:r>
    </w:p>
    <w:p w:rsidR="001C3058" w:rsidRPr="00852D1B" w:rsidRDefault="001C3058" w:rsidP="00DD344B">
      <w:pPr>
        <w:pStyle w:val="SingleTxtG"/>
        <w:ind w:firstLine="567"/>
      </w:pPr>
      <w:r w:rsidRPr="00852D1B">
        <w:tab/>
        <w:t>b)</w:t>
      </w:r>
      <w:r w:rsidRPr="00852D1B">
        <w:tab/>
      </w:r>
      <w:r w:rsidRPr="00852D1B">
        <w:rPr>
          <w:color w:val="FF0000"/>
        </w:rPr>
        <w:t>…</w:t>
      </w:r>
      <w:r w:rsidRPr="00852D1B">
        <w:t>.</w:t>
      </w:r>
    </w:p>
    <w:p w:rsidR="00852D1B" w:rsidRPr="00852D1B" w:rsidRDefault="001C3058" w:rsidP="001C3058">
      <w:pPr>
        <w:pStyle w:val="SingleTxtG"/>
      </w:pPr>
      <w:r w:rsidRPr="00852D1B">
        <w:t>5.</w:t>
      </w:r>
      <w:r w:rsidRPr="00852D1B">
        <w:tab/>
        <w:t>Комитет приветствует принятие следующих законодательных мер:</w:t>
      </w:r>
    </w:p>
    <w:p w:rsidR="001C3058" w:rsidRPr="00852D1B" w:rsidRDefault="001C3058" w:rsidP="00DD344B">
      <w:pPr>
        <w:pStyle w:val="SingleTxtG"/>
        <w:ind w:firstLine="567"/>
      </w:pPr>
      <w:r w:rsidRPr="00852D1B">
        <w:tab/>
        <w:t>а)</w:t>
      </w:r>
      <w:r w:rsidRPr="00852D1B">
        <w:tab/>
      </w:r>
      <w:r w:rsidRPr="00852D1B">
        <w:rPr>
          <w:color w:val="FF0000"/>
        </w:rPr>
        <w:t>…</w:t>
      </w:r>
      <w:r w:rsidRPr="00852D1B">
        <w:t>;</w:t>
      </w:r>
    </w:p>
    <w:p w:rsidR="001C3058" w:rsidRPr="00852D1B" w:rsidRDefault="001C3058" w:rsidP="00DD344B">
      <w:pPr>
        <w:pStyle w:val="SingleTxtG"/>
        <w:ind w:firstLine="567"/>
      </w:pPr>
      <w:r w:rsidRPr="00852D1B">
        <w:tab/>
        <w:t>b)</w:t>
      </w:r>
      <w:r w:rsidRPr="00852D1B">
        <w:tab/>
      </w:r>
      <w:r w:rsidRPr="00852D1B">
        <w:rPr>
          <w:color w:val="FF0000"/>
        </w:rPr>
        <w:t>…</w:t>
      </w:r>
      <w:r w:rsidRPr="00852D1B">
        <w:t>.</w:t>
      </w:r>
    </w:p>
    <w:p w:rsidR="001C3058" w:rsidRPr="00852D1B" w:rsidRDefault="001C3058" w:rsidP="001C3058">
      <w:pPr>
        <w:pStyle w:val="SingleTxtG"/>
      </w:pPr>
      <w:r w:rsidRPr="00852D1B">
        <w:t>6.</w:t>
      </w:r>
      <w:r w:rsidRPr="00852D1B">
        <w:tab/>
        <w:t>Комитет приветствует также следующие [институциональные и] политические меры:</w:t>
      </w:r>
    </w:p>
    <w:p w:rsidR="001C3058" w:rsidRPr="00852D1B" w:rsidRDefault="001C3058" w:rsidP="00DD344B">
      <w:pPr>
        <w:pStyle w:val="SingleTxtG"/>
        <w:ind w:firstLine="567"/>
      </w:pPr>
      <w:r w:rsidRPr="00852D1B">
        <w:tab/>
        <w:t>а)</w:t>
      </w:r>
      <w:r w:rsidRPr="00852D1B">
        <w:tab/>
      </w:r>
      <w:r w:rsidRPr="00852D1B">
        <w:rPr>
          <w:color w:val="FF0000"/>
        </w:rPr>
        <w:t>…</w:t>
      </w:r>
      <w:r w:rsidR="00852D1B" w:rsidRPr="00852D1B">
        <w:t>;</w:t>
      </w:r>
    </w:p>
    <w:p w:rsidR="001C3058" w:rsidRPr="00852D1B" w:rsidRDefault="001C3058" w:rsidP="00DD344B">
      <w:pPr>
        <w:pStyle w:val="SingleTxtG"/>
        <w:ind w:firstLine="567"/>
      </w:pPr>
      <w:r w:rsidRPr="00852D1B">
        <w:tab/>
        <w:t>b)</w:t>
      </w:r>
      <w:r w:rsidRPr="00852D1B">
        <w:tab/>
      </w:r>
      <w:r w:rsidRPr="00852D1B">
        <w:rPr>
          <w:color w:val="FF0000"/>
        </w:rPr>
        <w:t>…</w:t>
      </w:r>
      <w:r w:rsidRPr="00852D1B">
        <w:t>.</w:t>
      </w:r>
    </w:p>
    <w:p w:rsidR="001C3058" w:rsidRPr="00852D1B" w:rsidRDefault="001C3058" w:rsidP="001C3058">
      <w:pPr>
        <w:pStyle w:val="H1G"/>
      </w:pPr>
      <w:r w:rsidRPr="00852D1B">
        <w:lastRenderedPageBreak/>
        <w:tab/>
        <w:t>C.</w:t>
      </w:r>
      <w:r w:rsidRPr="00852D1B">
        <w:tab/>
        <w:t xml:space="preserve">Факторы и трудности, препятствующие осуществлению Конвенции </w:t>
      </w:r>
      <w:r w:rsidRPr="00852D1B">
        <w:rPr>
          <w:highlight w:val="yellow"/>
        </w:rPr>
        <w:t>[[Включается не всегда.]]</w:t>
      </w:r>
    </w:p>
    <w:p w:rsidR="001C3058" w:rsidRPr="00852D1B" w:rsidRDefault="001C3058" w:rsidP="001C3058">
      <w:pPr>
        <w:pStyle w:val="H1G"/>
      </w:pPr>
      <w:r w:rsidRPr="00852D1B">
        <w:tab/>
        <w:t>D.</w:t>
      </w:r>
      <w:r w:rsidRPr="00852D1B">
        <w:tab/>
        <w:t xml:space="preserve">Основные вопросы, вызывающие озабоченность, и рекомендации </w:t>
      </w:r>
      <w:r w:rsidRPr="00852D1B">
        <w:rPr>
          <w:highlight w:val="yellow"/>
        </w:rPr>
        <w:t>[[Не все подзаголовки и стандартные формулировки включаются во все заключительные замечания.]]</w:t>
      </w:r>
    </w:p>
    <w:p w:rsidR="001C3058" w:rsidRPr="00852D1B" w:rsidRDefault="001C3058" w:rsidP="001C3058">
      <w:pPr>
        <w:pStyle w:val="H23G"/>
      </w:pPr>
      <w:r w:rsidRPr="00852D1B">
        <w:tab/>
        <w:t>1.</w:t>
      </w:r>
      <w:r w:rsidRPr="00852D1B">
        <w:tab/>
        <w:t>Общие меры по осуществлению (статьи 73 и 84)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Законодательство и применение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Статьи 76–77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Ратификация соответствующих договоров</w:t>
      </w:r>
    </w:p>
    <w:p w:rsidR="001C3058" w:rsidRPr="00852D1B" w:rsidRDefault="001C3058" w:rsidP="001C3058">
      <w:pPr>
        <w:pStyle w:val="SingleTxtG"/>
        <w:rPr>
          <w:b/>
        </w:rPr>
      </w:pPr>
      <w:r w:rsidRPr="00852D1B">
        <w:t>12.</w:t>
      </w:r>
      <w:r w:rsidRPr="00852D1B">
        <w:tab/>
      </w:r>
      <w:r w:rsidRPr="00852D1B">
        <w:rPr>
          <w:b/>
        </w:rPr>
        <w:t>Комитет рекомендует государству-участнику рассмотреть возможность как можно скорее ратифицировать вышеупомянутые договоры или присоединиться к ним.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Всеобъемлющая политика и стратегия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Координация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Сбор данных</w:t>
      </w:r>
    </w:p>
    <w:p w:rsidR="001C3058" w:rsidRPr="00852D1B" w:rsidRDefault="001C3058" w:rsidP="001C3058">
      <w:pPr>
        <w:pStyle w:val="SingleTxtG"/>
        <w:rPr>
          <w:b/>
        </w:rPr>
      </w:pPr>
      <w:r w:rsidRPr="00852D1B">
        <w:t>18.</w:t>
      </w:r>
      <w:r w:rsidRPr="00852D1B">
        <w:tab/>
      </w:r>
      <w:r w:rsidRPr="00852D1B">
        <w:rPr>
          <w:b/>
        </w:rPr>
        <w:t xml:space="preserve">Комитет рекомендует государству-участнику </w:t>
      </w:r>
      <w:r w:rsidRPr="00852D1B">
        <w:rPr>
          <w:b/>
          <w:color w:val="FF0000"/>
        </w:rPr>
        <w:t>[</w:t>
      </w:r>
      <w:r w:rsidRPr="00852D1B">
        <w:rPr>
          <w:b/>
        </w:rPr>
        <w:t>в неотложном порядке</w:t>
      </w:r>
      <w:r w:rsidRPr="00852D1B">
        <w:rPr>
          <w:b/>
          <w:color w:val="FF0000"/>
        </w:rPr>
        <w:t xml:space="preserve">] </w:t>
      </w:r>
      <w:r w:rsidRPr="00852D1B">
        <w:rPr>
          <w:b/>
        </w:rPr>
        <w:t xml:space="preserve">создать всеобъемлющую систему </w:t>
      </w:r>
      <w:r w:rsidRPr="00852D1B">
        <w:rPr>
          <w:b/>
          <w:color w:val="FF0000"/>
        </w:rPr>
        <w:t>[</w:t>
      </w:r>
      <w:r w:rsidRPr="00852D1B">
        <w:rPr>
          <w:b/>
        </w:rPr>
        <w:t>сбора данных о миграции</w:t>
      </w:r>
      <w:r w:rsidRPr="00852D1B">
        <w:rPr>
          <w:b/>
          <w:color w:val="FF0000"/>
        </w:rPr>
        <w:t>]</w:t>
      </w:r>
      <w:r w:rsidRPr="00852D1B">
        <w:rPr>
          <w:b/>
        </w:rPr>
        <w:t xml:space="preserve"> </w:t>
      </w:r>
      <w:r w:rsidRPr="00852D1B">
        <w:rPr>
          <w:b/>
          <w:highlight w:val="yellow"/>
        </w:rPr>
        <w:t>[[точная формулировка может варьироваться]]</w:t>
      </w:r>
      <w:r w:rsidRPr="00852D1B">
        <w:rPr>
          <w:b/>
        </w:rPr>
        <w:t>, охватывающих все аспекты Конвенции, в том числе о трудящихся-мигрантах в государстве-участнике и о трудящихся с неурегулированным статусом</w:t>
      </w:r>
      <w:r w:rsidRPr="00852D1B">
        <w:rPr>
          <w:b/>
          <w:color w:val="FF0000"/>
        </w:rPr>
        <w:t>...</w:t>
      </w:r>
      <w:r w:rsidRPr="00852D1B">
        <w:rPr>
          <w:b/>
        </w:rPr>
        <w:t xml:space="preserve">. Комитет призывает государство-участник собирать информацию и статистические данные в разбивке по полу, возрасту, гражданству, миграционному статусу </w:t>
      </w:r>
      <w:r w:rsidRPr="00852D1B">
        <w:rPr>
          <w:b/>
          <w:highlight w:val="yellow"/>
        </w:rPr>
        <w:t>[[точная формулировка может варьироваться]]</w:t>
      </w:r>
      <w:r w:rsidRPr="00852D1B">
        <w:rPr>
          <w:b/>
        </w:rPr>
        <w:t xml:space="preserve">, причинам въезда в страну и выезда из нее и типу выполняемой работы </w:t>
      </w:r>
      <w:r w:rsidRPr="00852D1B">
        <w:rPr>
          <w:b/>
          <w:color w:val="FF0000"/>
        </w:rPr>
        <w:t>…</w:t>
      </w:r>
      <w:r w:rsidRPr="00852D1B">
        <w:rPr>
          <w:b/>
        </w:rPr>
        <w:t xml:space="preserve"> в соответствии с задачей 17.18 целей в области устойчивого развития.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Независимый мониторинг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Подготовка по вопросам, касающимся Конвенции, и распространение информации о ней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Участие гражданского общества</w:t>
      </w:r>
    </w:p>
    <w:p w:rsidR="001C3058" w:rsidRPr="00852D1B" w:rsidRDefault="001C3058" w:rsidP="001C3058">
      <w:pPr>
        <w:pStyle w:val="H23G"/>
        <w:rPr>
          <w:bCs/>
        </w:rPr>
      </w:pPr>
      <w:r w:rsidRPr="00852D1B">
        <w:tab/>
      </w:r>
      <w:r w:rsidRPr="00852D1B">
        <w:tab/>
      </w:r>
      <w:r w:rsidRPr="00852D1B">
        <w:rPr>
          <w:bCs/>
        </w:rPr>
        <w:t>Коррупция</w:t>
      </w:r>
    </w:p>
    <w:p w:rsidR="001C3058" w:rsidRPr="00852D1B" w:rsidRDefault="001C3058" w:rsidP="001C3058">
      <w:pPr>
        <w:pStyle w:val="H23G"/>
      </w:pPr>
      <w:r w:rsidRPr="00852D1B">
        <w:tab/>
        <w:t>2.</w:t>
      </w:r>
      <w:r w:rsidRPr="00852D1B">
        <w:tab/>
        <w:t>Общие принципы (статьи 7 и 83)</w:t>
      </w:r>
    </w:p>
    <w:p w:rsidR="00852D1B" w:rsidRPr="00852D1B" w:rsidRDefault="001C3058" w:rsidP="001C3058">
      <w:pPr>
        <w:pStyle w:val="H23G"/>
      </w:pPr>
      <w:r w:rsidRPr="00852D1B">
        <w:tab/>
      </w:r>
      <w:r w:rsidRPr="00852D1B">
        <w:tab/>
      </w:r>
      <w:proofErr w:type="spellStart"/>
      <w:r w:rsidRPr="00852D1B">
        <w:t>Недискриминация</w:t>
      </w:r>
      <w:proofErr w:type="spellEnd"/>
    </w:p>
    <w:p w:rsidR="00852D1B" w:rsidRPr="00852D1B" w:rsidRDefault="001C3058" w:rsidP="001C3058">
      <w:pPr>
        <w:pStyle w:val="H23G"/>
      </w:pPr>
      <w:r w:rsidRPr="00852D1B">
        <w:tab/>
      </w:r>
      <w:r w:rsidRPr="00852D1B">
        <w:tab/>
        <w:t>Право на эффективное средство правовой защиты</w:t>
      </w:r>
    </w:p>
    <w:p w:rsidR="001C3058" w:rsidRPr="00852D1B" w:rsidRDefault="001C3058" w:rsidP="001C3058">
      <w:pPr>
        <w:pStyle w:val="SingleTxtG"/>
        <w:rPr>
          <w:b/>
        </w:rPr>
      </w:pPr>
      <w:r w:rsidRPr="00852D1B">
        <w:t>26.</w:t>
      </w:r>
      <w:r w:rsidRPr="00852D1B">
        <w:tab/>
      </w:r>
      <w:r w:rsidRPr="00852D1B">
        <w:rPr>
          <w:b/>
          <w:highlight w:val="yellow"/>
        </w:rPr>
        <w:t>[[Этот пункт может содержать подпункты и дополнительные формулировки.]]</w:t>
      </w:r>
      <w:r w:rsidRPr="00852D1B">
        <w:rPr>
          <w:b/>
        </w:rPr>
        <w:t xml:space="preserve"> Комитет рекомендует государству-участнику обеспечить, чтобы в законодательном порядке и на практике трудящиеся-мигранты и члены их семей, в том числе лица с неурегулированным статусом, имели равные возможности наряду с гражданами государства-участника подавать жалобы и получать эффективную защиту в судах в случаях нарушения их прав по Конвенции. Комитет рекомендует также государству-участнику принять дополнительные меры по информированию трудящихся-мигрантов и членов их семей, в том числе лиц с неурегулированным статусом, об имеющихся в их </w:t>
      </w:r>
      <w:r w:rsidRPr="00852D1B">
        <w:rPr>
          <w:b/>
        </w:rPr>
        <w:lastRenderedPageBreak/>
        <w:t>распоряжении судебных и иных средствах правовой защиты в случае нарушения их прав по Конвенции.</w:t>
      </w:r>
    </w:p>
    <w:p w:rsidR="001C3058" w:rsidRPr="00852D1B" w:rsidRDefault="001C3058" w:rsidP="001C3058">
      <w:pPr>
        <w:pStyle w:val="H23G"/>
      </w:pPr>
      <w:r w:rsidRPr="00852D1B">
        <w:tab/>
        <w:t>3.</w:t>
      </w:r>
      <w:r w:rsidRPr="00852D1B">
        <w:tab/>
        <w:t>Права человека всех трудящихся-мигрантов и членов их семей (статьи 8−35)</w:t>
      </w:r>
    </w:p>
    <w:p w:rsidR="00852D1B" w:rsidRPr="00852D1B" w:rsidRDefault="001C3058" w:rsidP="001C3058">
      <w:pPr>
        <w:pStyle w:val="H23G"/>
      </w:pPr>
      <w:r w:rsidRPr="00852D1B">
        <w:tab/>
      </w:r>
      <w:r w:rsidRPr="00852D1B">
        <w:tab/>
        <w:t>Пограничный контроль и транзитные мигранты</w:t>
      </w:r>
    </w:p>
    <w:p w:rsidR="00852D1B" w:rsidRPr="00852D1B" w:rsidRDefault="001C3058" w:rsidP="001C3058">
      <w:pPr>
        <w:pStyle w:val="H23G"/>
      </w:pPr>
      <w:r w:rsidRPr="00852D1B">
        <w:tab/>
      </w:r>
      <w:r w:rsidRPr="00852D1B">
        <w:tab/>
        <w:t>Эксплуатация труда и другие формы жестокого обращения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Надлежащая правовая процедура, задержание и равенство перед судом</w:t>
      </w:r>
    </w:p>
    <w:p w:rsidR="00852D1B" w:rsidRPr="00852D1B" w:rsidRDefault="001C3058" w:rsidP="001C3058">
      <w:pPr>
        <w:pStyle w:val="H23G"/>
      </w:pPr>
      <w:r w:rsidRPr="00852D1B">
        <w:tab/>
      </w:r>
      <w:r w:rsidRPr="00852D1B">
        <w:tab/>
        <w:t>Высылка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Консульская помощь</w:t>
      </w:r>
    </w:p>
    <w:p w:rsidR="001C3058" w:rsidRPr="00852D1B" w:rsidRDefault="001C3058" w:rsidP="001C3058">
      <w:pPr>
        <w:pStyle w:val="SingleTxtG"/>
        <w:rPr>
          <w:b/>
        </w:rPr>
      </w:pPr>
      <w:r w:rsidRPr="00852D1B">
        <w:t>32.</w:t>
      </w:r>
      <w:r w:rsidRPr="00852D1B">
        <w:tab/>
      </w:r>
      <w:r w:rsidRPr="00852D1B">
        <w:rPr>
          <w:b/>
        </w:rPr>
        <w:t>Комитет рекомендует государству-участнику обеспечить всем трудящимся-мигрантам и членам их семей возможность обращаться за консульской поддержкой для защиты прав, изложенных в Конвенции.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 xml:space="preserve">Вознаграждение и условия труда </w:t>
      </w:r>
      <w:r w:rsidRPr="00852D1B">
        <w:rPr>
          <w:color w:val="FF0000"/>
        </w:rPr>
        <w:t>[</w:t>
      </w:r>
      <w:r w:rsidRPr="00852D1B">
        <w:t>Вознаграждение, условия труда и свобода передвижения</w:t>
      </w:r>
      <w:r w:rsidRPr="00852D1B">
        <w:rPr>
          <w:color w:val="FF0000"/>
        </w:rPr>
        <w:t>]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Социальное обеспечение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Профсоюзы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Медицинское обслуживание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Регистрации рождений и гражданство</w:t>
      </w:r>
    </w:p>
    <w:p w:rsidR="001C3058" w:rsidRPr="00852D1B" w:rsidRDefault="001C3058" w:rsidP="001C3058">
      <w:pPr>
        <w:pStyle w:val="SingleTxtG"/>
        <w:rPr>
          <w:b/>
        </w:rPr>
      </w:pPr>
      <w:r w:rsidRPr="00852D1B">
        <w:t>38.</w:t>
      </w:r>
      <w:r w:rsidRPr="00852D1B">
        <w:tab/>
      </w:r>
      <w:r w:rsidRPr="00852D1B">
        <w:rPr>
          <w:b/>
        </w:rPr>
        <w:t xml:space="preserve">Комитет рекомендует государству-участнику </w:t>
      </w:r>
      <w:r w:rsidRPr="00852D1B">
        <w:rPr>
          <w:b/>
          <w:color w:val="FF0000"/>
        </w:rPr>
        <w:t>...</w:t>
      </w:r>
      <w:r w:rsidRPr="00852D1B">
        <w:rPr>
          <w:b/>
        </w:rPr>
        <w:t xml:space="preserve"> в соответствии с задачей 16.9 целей в области устойчивого развития.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Образование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Право на получение информации и распространение информации</w:t>
      </w:r>
    </w:p>
    <w:p w:rsidR="001C3058" w:rsidRPr="00852D1B" w:rsidRDefault="001C3058" w:rsidP="001C3058">
      <w:pPr>
        <w:pStyle w:val="H23G"/>
      </w:pPr>
      <w:r w:rsidRPr="00852D1B">
        <w:tab/>
        <w:t>4.</w:t>
      </w:r>
      <w:r w:rsidRPr="00852D1B">
        <w:tab/>
        <w:t>Другие права трудящихся-мигрантов и членов их семей, имеющих документы или урегулированный статус (статьи 36−56)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Право на создание профсоюзов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Право голосовать и быть избранным в государстве происхождения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Воссоединение семьи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Право переводить заработанные средства и сбережения</w:t>
      </w:r>
    </w:p>
    <w:p w:rsidR="001C3058" w:rsidRPr="00852D1B" w:rsidRDefault="001C3058" w:rsidP="001C3058">
      <w:pPr>
        <w:pStyle w:val="SingleTxtG"/>
        <w:rPr>
          <w:b/>
        </w:rPr>
      </w:pPr>
      <w:r w:rsidRPr="00852D1B">
        <w:t>46.</w:t>
      </w:r>
      <w:r w:rsidRPr="00852D1B">
        <w:tab/>
      </w:r>
      <w:r w:rsidRPr="00852D1B">
        <w:rPr>
          <w:b/>
        </w:rPr>
        <w:t xml:space="preserve">Комитет рекомендует государству-участнику принять меры с целью уменьшения размера сборов за переводы денежных средств до менее 3% в соответствии с задачей 10.с целей в области устойчивого развития. </w:t>
      </w:r>
      <w:r w:rsidRPr="00852D1B">
        <w:rPr>
          <w:b/>
          <w:highlight w:val="yellow"/>
        </w:rPr>
        <w:t>[[Точная формулировка может варьироваться.]]</w:t>
      </w:r>
    </w:p>
    <w:p w:rsidR="001C3058" w:rsidRPr="00852D1B" w:rsidRDefault="001C3058" w:rsidP="001C3058">
      <w:pPr>
        <w:pStyle w:val="H23G"/>
      </w:pPr>
      <w:r w:rsidRPr="00852D1B">
        <w:lastRenderedPageBreak/>
        <w:tab/>
      </w:r>
      <w:r w:rsidRPr="00852D1B">
        <w:tab/>
        <w:t>Разрешения на работу</w:t>
      </w:r>
    </w:p>
    <w:p w:rsidR="001C3058" w:rsidRPr="00852D1B" w:rsidRDefault="001C3058" w:rsidP="001C3058">
      <w:pPr>
        <w:pStyle w:val="H23G"/>
      </w:pPr>
      <w:r w:rsidRPr="00852D1B">
        <w:tab/>
        <w:t>5.</w:t>
      </w:r>
      <w:r w:rsidRPr="00852D1B">
        <w:tab/>
        <w:t>Положения, применимые к конкретным категориям трудящихся-мигрантов и членам их семей (статьи 57–63)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Сезонные работники</w:t>
      </w:r>
    </w:p>
    <w:p w:rsidR="00852D1B" w:rsidRPr="00852D1B" w:rsidRDefault="001C3058" w:rsidP="001C3058">
      <w:pPr>
        <w:pStyle w:val="H23G"/>
      </w:pPr>
      <w:r w:rsidRPr="00852D1B">
        <w:tab/>
        <w:t>6.</w:t>
      </w:r>
      <w:r w:rsidRPr="00852D1B">
        <w:tab/>
        <w:t>Содействие созданию нормальных, справедливых, гуманных и законных условий в отношении международной миграции трудящихся и членов их семей (статьи 64−71)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 xml:space="preserve">Возвращение и </w:t>
      </w:r>
      <w:proofErr w:type="spellStart"/>
      <w:r w:rsidRPr="00852D1B">
        <w:t>реинтеграция</w:t>
      </w:r>
      <w:proofErr w:type="spellEnd"/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Незаконные или тайные перемещения и наем трудящихся-мигрантов с неурегулированным статусом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Меры по решению проблем трудящихся-мигрантов с неурегулированным статусом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Дети, остающиеся в стране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Агентства по трудоустройству</w:t>
      </w:r>
    </w:p>
    <w:p w:rsidR="001C3058" w:rsidRPr="00852D1B" w:rsidRDefault="001C3058" w:rsidP="001C3058">
      <w:pPr>
        <w:pStyle w:val="SingleTxtG"/>
        <w:rPr>
          <w:b/>
        </w:rPr>
      </w:pPr>
      <w:r w:rsidRPr="00852D1B">
        <w:t>50.</w:t>
      </w:r>
      <w:r w:rsidRPr="00852D1B">
        <w:tab/>
      </w:r>
      <w:r w:rsidRPr="00852D1B">
        <w:rPr>
          <w:b/>
        </w:rPr>
        <w:t>Комитет рекомендует государству-участнику принять следующие меры:</w:t>
      </w:r>
    </w:p>
    <w:p w:rsidR="001C3058" w:rsidRPr="00852D1B" w:rsidRDefault="001C3058" w:rsidP="00DD344B">
      <w:pPr>
        <w:pStyle w:val="SingleTxtG"/>
        <w:ind w:firstLine="567"/>
        <w:rPr>
          <w:b/>
        </w:rPr>
      </w:pPr>
      <w:r w:rsidRPr="00852D1B">
        <w:tab/>
      </w:r>
      <w:r w:rsidRPr="00852D1B">
        <w:rPr>
          <w:b/>
        </w:rPr>
        <w:t>а)</w:t>
      </w:r>
      <w:r w:rsidRPr="00852D1B">
        <w:tab/>
      </w:r>
      <w:r w:rsidRPr="00852D1B">
        <w:rPr>
          <w:b/>
          <w:color w:val="FF0000"/>
        </w:rPr>
        <w:t>…</w:t>
      </w:r>
      <w:r w:rsidRPr="00852D1B">
        <w:rPr>
          <w:b/>
        </w:rPr>
        <w:t>;</w:t>
      </w:r>
    </w:p>
    <w:p w:rsidR="001C3058" w:rsidRPr="00852D1B" w:rsidRDefault="001C3058" w:rsidP="00DD344B">
      <w:pPr>
        <w:pStyle w:val="SingleTxtG"/>
        <w:ind w:firstLine="567"/>
        <w:rPr>
          <w:b/>
        </w:rPr>
      </w:pPr>
      <w:r w:rsidRPr="00852D1B">
        <w:tab/>
      </w:r>
      <w:r w:rsidRPr="00852D1B">
        <w:rPr>
          <w:b/>
        </w:rPr>
        <w:t>b)</w:t>
      </w:r>
      <w:r w:rsidRPr="00852D1B">
        <w:tab/>
      </w:r>
      <w:r w:rsidRPr="00852D1B">
        <w:rPr>
          <w:b/>
          <w:color w:val="FF0000"/>
        </w:rPr>
        <w:t>…</w:t>
      </w:r>
      <w:r w:rsidRPr="00852D1B">
        <w:rPr>
          <w:b/>
        </w:rPr>
        <w:t>;</w:t>
      </w:r>
    </w:p>
    <w:p w:rsidR="00852D1B" w:rsidRPr="00852D1B" w:rsidRDefault="001C3058" w:rsidP="00DD344B">
      <w:pPr>
        <w:pStyle w:val="SingleTxtG"/>
        <w:ind w:firstLine="567"/>
        <w:rPr>
          <w:b/>
        </w:rPr>
      </w:pPr>
      <w:r w:rsidRPr="00852D1B">
        <w:tab/>
      </w:r>
      <w:r w:rsidRPr="00852D1B">
        <w:rPr>
          <w:b/>
        </w:rPr>
        <w:t>c)</w:t>
      </w:r>
      <w:r w:rsidRPr="00852D1B">
        <w:tab/>
      </w:r>
      <w:r w:rsidRPr="00852D1B">
        <w:rPr>
          <w:b/>
        </w:rPr>
        <w:t>обеспечить, чтобы частные агентства по трудоустройству предоставляли исчерпывающую информации лицам, желающим найти работу за границей, и гарантировали им реальное получение всех оговоренных при оформлении на работу выплат, в частности заработной платы;</w:t>
      </w:r>
    </w:p>
    <w:p w:rsidR="001C3058" w:rsidRPr="00852D1B" w:rsidRDefault="001C3058" w:rsidP="00DD344B">
      <w:pPr>
        <w:pStyle w:val="SingleTxtG"/>
        <w:ind w:firstLine="567"/>
        <w:rPr>
          <w:b/>
        </w:rPr>
      </w:pPr>
      <w:r w:rsidRPr="00852D1B">
        <w:tab/>
      </w:r>
      <w:r w:rsidRPr="00852D1B">
        <w:rPr>
          <w:b/>
        </w:rPr>
        <w:t>d)</w:t>
      </w:r>
      <w:r w:rsidRPr="00852D1B">
        <w:tab/>
      </w:r>
      <w:r w:rsidRPr="00852D1B">
        <w:rPr>
          <w:b/>
          <w:color w:val="FF0000"/>
        </w:rPr>
        <w:t>…</w:t>
      </w:r>
      <w:r w:rsidRPr="00852D1B">
        <w:rPr>
          <w:b/>
        </w:rPr>
        <w:t>.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Незаконные или тайные перемещения и наем трудящихся-мигрантов с неурегулированным статусом</w:t>
      </w:r>
    </w:p>
    <w:p w:rsidR="001C3058" w:rsidRPr="00852D1B" w:rsidRDefault="001C3058" w:rsidP="001C3058">
      <w:pPr>
        <w:pStyle w:val="H23G"/>
      </w:pPr>
      <w:r w:rsidRPr="00852D1B">
        <w:tab/>
        <w:t>7.</w:t>
      </w:r>
      <w:r w:rsidRPr="00852D1B">
        <w:tab/>
        <w:t>Распространение информации и последующая деятельность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Распространение</w:t>
      </w:r>
    </w:p>
    <w:p w:rsidR="001C3058" w:rsidRPr="00852D1B" w:rsidRDefault="001C3058" w:rsidP="001C3058">
      <w:pPr>
        <w:pStyle w:val="SingleTxtG"/>
        <w:rPr>
          <w:b/>
          <w:lang w:eastAsia="ru-RU"/>
        </w:rPr>
      </w:pPr>
      <w:r w:rsidRPr="00852D1B">
        <w:rPr>
          <w:lang w:eastAsia="ru-RU"/>
        </w:rPr>
        <w:t>56.</w:t>
      </w:r>
      <w:r w:rsidRPr="00852D1B">
        <w:rPr>
          <w:lang w:eastAsia="ru-RU"/>
        </w:rPr>
        <w:tab/>
      </w:r>
      <w:r w:rsidRPr="00852D1B">
        <w:rPr>
          <w:b/>
          <w:lang w:eastAsia="ru-RU"/>
        </w:rPr>
        <w:t>Комитет просит государство-участник обеспечить своевременное распространение настоящих заключительных замечаний на официальных языках государства-участника среди соответствующих государственных учреждений, в том числе среди государственных министерств, законодательных и судебных органов, соответствующих местных властей, а также неправительственных организаций и других субъектов гражданского общества.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>Техническая помощь</w:t>
      </w:r>
    </w:p>
    <w:p w:rsidR="001C3058" w:rsidRPr="00852D1B" w:rsidRDefault="001C3058" w:rsidP="001C3058">
      <w:pPr>
        <w:pStyle w:val="SingleTxtG"/>
        <w:rPr>
          <w:b/>
        </w:rPr>
      </w:pPr>
      <w:r w:rsidRPr="00852D1B">
        <w:t>57.</w:t>
      </w:r>
      <w:r w:rsidRPr="00852D1B">
        <w:tab/>
      </w:r>
      <w:r w:rsidRPr="00852D1B">
        <w:rPr>
          <w:b/>
        </w:rPr>
        <w:t>Комитет рекомендует государству-участнику и впредь пользоваться международной помощью для выполнения рекомендаций, содержащихся в настоящих заключительных замечаниях, в соответствии с Повесткой дня в области устойчивого развития на период до 2030 года.</w:t>
      </w:r>
    </w:p>
    <w:p w:rsidR="001C3058" w:rsidRPr="00852D1B" w:rsidRDefault="001C3058" w:rsidP="001C3058">
      <w:pPr>
        <w:pStyle w:val="H23G"/>
      </w:pPr>
      <w:r w:rsidRPr="00852D1B">
        <w:tab/>
      </w:r>
      <w:r w:rsidRPr="00852D1B">
        <w:tab/>
        <w:t xml:space="preserve">Последующая деятельность в связи с заключительными замечаниями </w:t>
      </w:r>
      <w:r w:rsidRPr="00852D1B">
        <w:rPr>
          <w:highlight w:val="yellow"/>
        </w:rPr>
        <w:t>[[Включается не всегда]]</w:t>
      </w:r>
    </w:p>
    <w:p w:rsidR="001C3058" w:rsidRPr="00852D1B" w:rsidRDefault="001C3058" w:rsidP="001C3058">
      <w:pPr>
        <w:pStyle w:val="SingleTxtG"/>
      </w:pPr>
      <w:r w:rsidRPr="00852D1B">
        <w:t>58.</w:t>
      </w:r>
      <w:r w:rsidRPr="00852D1B">
        <w:tab/>
        <w:t>К</w:t>
      </w:r>
      <w:r w:rsidRPr="00852D1B">
        <w:rPr>
          <w:b/>
        </w:rPr>
        <w:t xml:space="preserve">омитет просит государство-участник представить в течение двух лет (т.е. к </w:t>
      </w:r>
      <w:r w:rsidRPr="00852D1B">
        <w:rPr>
          <w:b/>
          <w:color w:val="FF0000"/>
        </w:rPr>
        <w:t>дата</w:t>
      </w:r>
      <w:r w:rsidRPr="00852D1B">
        <w:rPr>
          <w:b/>
        </w:rPr>
        <w:t xml:space="preserve">) письменную информацию о выполнении рекомендаций, содержащихся в пунктах </w:t>
      </w:r>
      <w:r w:rsidRPr="00852D1B">
        <w:rPr>
          <w:b/>
          <w:color w:val="FF0000"/>
        </w:rPr>
        <w:t>X</w:t>
      </w:r>
      <w:r w:rsidRPr="00852D1B">
        <w:rPr>
          <w:b/>
        </w:rPr>
        <w:t xml:space="preserve">, </w:t>
      </w:r>
      <w:r w:rsidRPr="00852D1B">
        <w:rPr>
          <w:b/>
          <w:color w:val="FF0000"/>
        </w:rPr>
        <w:t>X</w:t>
      </w:r>
      <w:r w:rsidRPr="00852D1B">
        <w:rPr>
          <w:b/>
        </w:rPr>
        <w:t xml:space="preserve"> и </w:t>
      </w:r>
      <w:r w:rsidRPr="00852D1B">
        <w:rPr>
          <w:b/>
          <w:color w:val="FF0000"/>
        </w:rPr>
        <w:t>X</w:t>
      </w:r>
      <w:r w:rsidRPr="00852D1B">
        <w:rPr>
          <w:b/>
        </w:rPr>
        <w:t xml:space="preserve"> выше.</w:t>
      </w:r>
    </w:p>
    <w:p w:rsidR="001C3058" w:rsidRPr="00852D1B" w:rsidRDefault="001C3058" w:rsidP="001C3058">
      <w:pPr>
        <w:pStyle w:val="H23G"/>
      </w:pPr>
      <w:r w:rsidRPr="00852D1B">
        <w:lastRenderedPageBreak/>
        <w:tab/>
      </w:r>
      <w:r w:rsidRPr="00852D1B">
        <w:tab/>
        <w:t>Следующий периодический доклад</w:t>
      </w:r>
    </w:p>
    <w:p w:rsidR="001C3058" w:rsidRPr="00852D1B" w:rsidRDefault="001C3058" w:rsidP="001C3058">
      <w:pPr>
        <w:pStyle w:val="SingleTxtG"/>
        <w:rPr>
          <w:b/>
        </w:rPr>
      </w:pPr>
      <w:r w:rsidRPr="00852D1B">
        <w:t>59.</w:t>
      </w:r>
      <w:r w:rsidRPr="00852D1B">
        <w:tab/>
      </w:r>
      <w:r w:rsidRPr="00852D1B">
        <w:rPr>
          <w:b/>
        </w:rPr>
        <w:t xml:space="preserve">Комитет просит государство-участник представить свой </w:t>
      </w:r>
      <w:r w:rsidRPr="00852D1B">
        <w:rPr>
          <w:b/>
          <w:color w:val="FF0000"/>
        </w:rPr>
        <w:t>номер</w:t>
      </w:r>
      <w:r w:rsidRPr="00852D1B">
        <w:rPr>
          <w:b/>
        </w:rPr>
        <w:t xml:space="preserve"> периодический доклад к </w:t>
      </w:r>
      <w:r w:rsidRPr="00852D1B">
        <w:rPr>
          <w:b/>
          <w:color w:val="FF0000"/>
        </w:rPr>
        <w:t>дата</w:t>
      </w:r>
      <w:r w:rsidRPr="00852D1B">
        <w:rPr>
          <w:b/>
          <w:color w:val="002060"/>
        </w:rPr>
        <w:t>.</w:t>
      </w:r>
      <w:r w:rsidRPr="00852D1B">
        <w:rPr>
          <w:b/>
        </w:rPr>
        <w:t xml:space="preserve"> Для этого государство-участник, возможно, пожелает использовать упрощенную процедуру представления докладов. Комитет обращает внимание государства-участника на свои согласованные руководящие принципы подготовки документов по конкретным договорам (HRI/GEN.2/Rev.6).</w:t>
      </w:r>
    </w:p>
    <w:p w:rsidR="002B3779" w:rsidRPr="00852D1B" w:rsidRDefault="001C3058" w:rsidP="00DD344B">
      <w:pPr>
        <w:pStyle w:val="SingleTxtG"/>
        <w:spacing w:before="240" w:after="0"/>
        <w:jc w:val="center"/>
      </w:pPr>
      <w:r w:rsidRPr="00852D1B">
        <w:rPr>
          <w:u w:val="single"/>
        </w:rPr>
        <w:tab/>
      </w:r>
      <w:r w:rsidRPr="00852D1B">
        <w:rPr>
          <w:u w:val="single"/>
        </w:rPr>
        <w:tab/>
      </w:r>
      <w:r w:rsidRPr="00852D1B">
        <w:rPr>
          <w:u w:val="single"/>
        </w:rPr>
        <w:tab/>
      </w:r>
      <w:r w:rsidR="00DD344B" w:rsidRPr="00852D1B">
        <w:rPr>
          <w:u w:val="single"/>
        </w:rPr>
        <w:tab/>
      </w:r>
    </w:p>
    <w:sectPr w:rsidR="002B3779" w:rsidRPr="00852D1B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852D1B">
      <w:rPr>
        <w:b/>
        <w:noProof/>
        <w:sz w:val="18"/>
      </w:rPr>
      <w:t>4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852D1B">
      <w:rPr>
        <w:b/>
        <w:noProof/>
        <w:sz w:val="18"/>
      </w:rPr>
      <w:t>5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1C3058" w:rsidRPr="003C6EAB" w:rsidRDefault="001C3058" w:rsidP="001C3058">
      <w:pPr>
        <w:pStyle w:val="Notedebasdepage"/>
        <w:rPr>
          <w:szCs w:val="18"/>
          <w:lang w:val="ru-RU"/>
        </w:rPr>
      </w:pPr>
      <w:r>
        <w:rPr>
          <w:lang w:val="ru-RU"/>
        </w:rPr>
        <w:tab/>
      </w:r>
      <w:r w:rsidRPr="00A43C2E">
        <w:rPr>
          <w:rStyle w:val="Appelnotedebasdep"/>
          <w:sz w:val="20"/>
          <w:vertAlign w:val="baseline"/>
          <w:lang w:val="ru-RU"/>
        </w:rPr>
        <w:t>*</w:t>
      </w:r>
      <w:r>
        <w:rPr>
          <w:lang w:val="ru-RU"/>
        </w:rPr>
        <w:tab/>
      </w:r>
      <w:r w:rsidRPr="003C6EAB">
        <w:rPr>
          <w:szCs w:val="18"/>
          <w:lang w:val="ru-RU"/>
        </w:rPr>
        <w:t xml:space="preserve">Приняты Комитетом на его </w:t>
      </w:r>
      <w:r w:rsidR="00852D1B" w:rsidRPr="00852D1B">
        <w:rPr>
          <w:color w:val="FF0000"/>
          <w:szCs w:val="18"/>
          <w:lang w:val="fr-CH"/>
        </w:rPr>
        <w:t>[</w:t>
      </w:r>
      <w:r w:rsidRPr="00B56889">
        <w:rPr>
          <w:color w:val="FF0000"/>
          <w:szCs w:val="18"/>
          <w:lang w:val="ru-RU"/>
        </w:rPr>
        <w:t>номер</w:t>
      </w:r>
      <w:r w:rsidR="00852D1B">
        <w:rPr>
          <w:color w:val="FF0000"/>
          <w:szCs w:val="18"/>
          <w:lang w:val="fr-CH"/>
        </w:rPr>
        <w:t>]</w:t>
      </w:r>
      <w:r w:rsidRPr="00B56889">
        <w:rPr>
          <w:color w:val="FF0000"/>
          <w:szCs w:val="18"/>
          <w:lang w:val="ru-RU"/>
        </w:rPr>
        <w:t xml:space="preserve"> </w:t>
      </w:r>
      <w:r w:rsidRPr="003C6EAB">
        <w:rPr>
          <w:szCs w:val="18"/>
          <w:lang w:val="ru-RU"/>
        </w:rPr>
        <w:t>сессии (</w:t>
      </w:r>
      <w:r w:rsidRPr="00B56889">
        <w:rPr>
          <w:color w:val="FF0000"/>
          <w:szCs w:val="18"/>
          <w:lang w:val="ru-RU"/>
        </w:rPr>
        <w:t>даты</w:t>
      </w:r>
      <w:r w:rsidRPr="003C6EAB">
        <w:rPr>
          <w:szCs w:val="18"/>
          <w:lang w:val="ru-RU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3058"/>
    <w:rsid w:val="001C7A89"/>
    <w:rsid w:val="001E0DF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425FD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52D1B"/>
    <w:rsid w:val="0086445C"/>
    <w:rsid w:val="00894693"/>
    <w:rsid w:val="008A08D7"/>
    <w:rsid w:val="008B6909"/>
    <w:rsid w:val="00906890"/>
    <w:rsid w:val="0090759A"/>
    <w:rsid w:val="00911BE4"/>
    <w:rsid w:val="0091485B"/>
    <w:rsid w:val="00940922"/>
    <w:rsid w:val="00951972"/>
    <w:rsid w:val="00953B7A"/>
    <w:rsid w:val="009569AF"/>
    <w:rsid w:val="009608F3"/>
    <w:rsid w:val="00971623"/>
    <w:rsid w:val="009724F7"/>
    <w:rsid w:val="009753A6"/>
    <w:rsid w:val="0098523A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D344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54D7470C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98523A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98523A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98523A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98523A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98523A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98523A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98523A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98523A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98523A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98523A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98523A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98523A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98523A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98523A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98523A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98523A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98523A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98523A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98523A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98523A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98523A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98523A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98523A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98523A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98523A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98523A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98523A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98523A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98523A"/>
  </w:style>
  <w:style w:type="character" w:customStyle="1" w:styleId="NotedefinCar">
    <w:name w:val="Note de fin Car"/>
    <w:aliases w:val="2_G Car"/>
    <w:basedOn w:val="Policepardfaut"/>
    <w:link w:val="Notedefin"/>
    <w:rsid w:val="0098523A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98523A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98523A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98523A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19B09-0F91-4448-BFA2-2F165626C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874</Words>
  <Characters>6783</Characters>
  <Application>Microsoft Office Word</Application>
  <DocSecurity>0</DocSecurity>
  <Lines>56</Lines>
  <Paragraphs>15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>CAT01R</vt:lpstr>
      <vt:lpstr>CAT01R</vt:lpstr>
    </vt:vector>
  </TitlesOfParts>
  <Company>DCM</Company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5</cp:revision>
  <cp:lastPrinted>2017-07-04T10:34:00Z</cp:lastPrinted>
  <dcterms:created xsi:type="dcterms:W3CDTF">2018-05-18T12:45:00Z</dcterms:created>
  <dcterms:modified xsi:type="dcterms:W3CDTF">2018-06-19T09:24:00Z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