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555706">
        <w:trPr>
          <w:cantSplit/>
          <w:trHeight w:hRule="exact" w:val="851"/>
        </w:trPr>
        <w:tc>
          <w:tcPr>
            <w:tcW w:w="1276" w:type="dxa"/>
            <w:tcBorders>
              <w:bottom w:val="single" w:sz="4" w:space="0" w:color="auto"/>
            </w:tcBorders>
            <w:vAlign w:val="bottom"/>
          </w:tcPr>
          <w:p w:rsidR="00555706" w:rsidRDefault="00555706">
            <w:pPr>
              <w:spacing w:after="80"/>
            </w:pPr>
            <w:bookmarkStart w:id="0" w:name="_GoBack"/>
            <w:bookmarkEnd w:id="0"/>
          </w:p>
        </w:tc>
        <w:tc>
          <w:tcPr>
            <w:tcW w:w="2268" w:type="dxa"/>
            <w:tcBorders>
              <w:bottom w:val="single" w:sz="4" w:space="0" w:color="auto"/>
            </w:tcBorders>
            <w:vAlign w:val="bottom"/>
          </w:tcPr>
          <w:p w:rsidR="00555706" w:rsidRDefault="00FB1C40">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555706" w:rsidRDefault="00FB1C40">
            <w:pPr>
              <w:suppressAutoHyphens w:val="0"/>
              <w:spacing w:after="20"/>
              <w:jc w:val="right"/>
            </w:pPr>
            <w:r>
              <w:rPr>
                <w:sz w:val="40"/>
              </w:rPr>
              <w:t>CRC</w:t>
            </w:r>
            <w:r>
              <w:t>/</w:t>
            </w:r>
            <w:fldSimple w:instr=" DOCPROPERTY  sym1  \* MERGEFORMAT ">
              <w:r>
                <w:t>sym1</w:t>
              </w:r>
            </w:fldSimple>
          </w:p>
        </w:tc>
      </w:tr>
      <w:tr w:rsidR="00555706">
        <w:trPr>
          <w:cantSplit/>
          <w:trHeight w:hRule="exact" w:val="2835"/>
        </w:trPr>
        <w:tc>
          <w:tcPr>
            <w:tcW w:w="1276" w:type="dxa"/>
            <w:tcBorders>
              <w:top w:val="single" w:sz="4" w:space="0" w:color="auto"/>
              <w:bottom w:val="single" w:sz="12" w:space="0" w:color="auto"/>
            </w:tcBorders>
          </w:tcPr>
          <w:p w:rsidR="00555706" w:rsidRDefault="00FB1C40">
            <w:pPr>
              <w:spacing w:before="120"/>
              <w:jc w:val="center"/>
            </w:pPr>
            <w:r>
              <w:rPr>
                <w:noProof/>
                <w:lang w:val="fr-CH" w:eastAsia="fr-CH"/>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555706" w:rsidRDefault="00FB1C40">
            <w:pPr>
              <w:spacing w:before="120" w:line="420" w:lineRule="exact"/>
            </w:pPr>
            <w:r>
              <w:rPr>
                <w:b/>
                <w:sz w:val="40"/>
                <w:szCs w:val="40"/>
              </w:rPr>
              <w:t>Convention on the</w:t>
            </w:r>
            <w:r>
              <w:rPr>
                <w:b/>
                <w:sz w:val="40"/>
                <w:szCs w:val="40"/>
              </w:rPr>
              <w:br/>
              <w:t>Rights of the Child</w:t>
            </w:r>
          </w:p>
        </w:tc>
        <w:tc>
          <w:tcPr>
            <w:tcW w:w="2835" w:type="dxa"/>
            <w:tcBorders>
              <w:top w:val="single" w:sz="4" w:space="0" w:color="auto"/>
              <w:bottom w:val="single" w:sz="12" w:space="0" w:color="auto"/>
            </w:tcBorders>
          </w:tcPr>
          <w:p w:rsidR="00555706" w:rsidRDefault="00FB1C40">
            <w:pPr>
              <w:suppressAutoHyphens w:val="0"/>
              <w:spacing w:before="240" w:line="240" w:lineRule="exact"/>
              <w:rPr>
                <w:lang w:val="fr-CH"/>
              </w:rPr>
            </w:pPr>
            <w:r>
              <w:rPr>
                <w:lang w:val="fr-CH"/>
              </w:rPr>
              <w:t xml:space="preserve">Distr.: </w:t>
            </w:r>
            <w:r>
              <w:fldChar w:fldCharType="begin"/>
            </w:r>
            <w:r>
              <w:rPr>
                <w:lang w:val="fr-CH"/>
              </w:rPr>
              <w:instrText xml:space="preserve"> DOCPROPERTY  dist  \* MERGEFORMAT </w:instrText>
            </w:r>
            <w:r>
              <w:fldChar w:fldCharType="separate"/>
            </w:r>
            <w:r>
              <w:rPr>
                <w:lang w:val="fr-CH"/>
              </w:rPr>
              <w:t>Dist</w:t>
            </w:r>
            <w:r>
              <w:fldChar w:fldCharType="end"/>
            </w:r>
          </w:p>
          <w:p w:rsidR="00555706" w:rsidRDefault="00FB1C40">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rsidR="00555706" w:rsidRDefault="00FB1C40">
            <w:pPr>
              <w:suppressAutoHyphens w:val="0"/>
              <w:rPr>
                <w:lang w:val="fr-CH"/>
              </w:rPr>
            </w:pPr>
            <w:r>
              <w:fldChar w:fldCharType="begin"/>
            </w:r>
            <w:r>
              <w:rPr>
                <w:lang w:val="fr-CH"/>
              </w:rPr>
              <w:instrText xml:space="preserve"> DOCPROPERTY  tlang  \* MERGEFORMAT </w:instrText>
            </w:r>
            <w:r>
              <w:fldChar w:fldCharType="separate"/>
            </w:r>
            <w:r>
              <w:rPr>
                <w:lang w:val="fr-CH"/>
              </w:rPr>
              <w:t>tlang</w:t>
            </w:r>
            <w:r>
              <w:fldChar w:fldCharType="end"/>
            </w:r>
          </w:p>
          <w:p w:rsidR="00555706" w:rsidRDefault="00FB1C40">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r>
              <w:rPr>
                <w:lang w:val="fr-CH"/>
              </w:rPr>
              <w:t>olang</w:t>
            </w:r>
            <w:r>
              <w:fldChar w:fldCharType="end"/>
            </w:r>
          </w:p>
          <w:p w:rsidR="00555706" w:rsidRDefault="00FB1C40">
            <w:pPr>
              <w:suppressAutoHyphens w:val="0"/>
              <w:rPr>
                <w:lang w:val="fr-CH"/>
              </w:rPr>
            </w:pPr>
            <w:r>
              <w:fldChar w:fldCharType="begin"/>
            </w:r>
            <w:r>
              <w:rPr>
                <w:lang w:val="fr-CH"/>
              </w:rPr>
              <w:instrText xml:space="preserve"> DOCPROPERTY  virs  \* MERGEFORMAT </w:instrText>
            </w:r>
            <w:r>
              <w:fldChar w:fldCharType="separate"/>
            </w:r>
            <w:r>
              <w:rPr>
                <w:lang w:val="fr-CH"/>
              </w:rPr>
              <w:t>virs</w:t>
            </w:r>
            <w:r>
              <w:fldChar w:fldCharType="end"/>
            </w:r>
          </w:p>
        </w:tc>
      </w:tr>
    </w:tbl>
    <w:p w:rsidR="00555706" w:rsidRDefault="00FB1C40">
      <w:pPr>
        <w:spacing w:before="120"/>
        <w:rPr>
          <w:b/>
          <w:sz w:val="24"/>
        </w:rPr>
      </w:pPr>
      <w:r>
        <w:rPr>
          <w:b/>
          <w:sz w:val="24"/>
        </w:rPr>
        <w:t>Committee on the Rights of the Child</w:t>
      </w:r>
    </w:p>
    <w:p w:rsidR="00555706" w:rsidRPr="00FB1C40" w:rsidRDefault="00FB1C40">
      <w:pPr>
        <w:pStyle w:val="HChG"/>
      </w:pPr>
      <w:r>
        <w:tab/>
      </w:r>
      <w:r>
        <w:tab/>
        <w:t xml:space="preserve">Concluding observations on the report submitted by </w:t>
      </w:r>
      <w:fldSimple w:instr=" DOCPROPERTY  countw  \* MERGEFORMAT ">
        <w:r>
          <w:t>countw</w:t>
        </w:r>
      </w:fldSimple>
      <w:r>
        <w:t xml:space="preserve"> under article 8 (1) of the Optional Protocol to the Convention on the Rights of the Child on the involvement of children in armed conflict</w:t>
      </w:r>
      <w:r>
        <w:rPr>
          <w:b w:val="0"/>
          <w:bCs/>
          <w:sz w:val="20"/>
        </w:rPr>
        <w:footnoteReference w:customMarkFollows="1" w:id="2"/>
        <w:t>*</w:t>
      </w:r>
    </w:p>
    <w:p w:rsidR="00555706" w:rsidRDefault="00FB1C40">
      <w:pPr>
        <w:pStyle w:val="HChG"/>
        <w:rPr>
          <w:rFonts w:eastAsia="Malgun Gothic"/>
        </w:rPr>
      </w:pPr>
      <w:r>
        <w:tab/>
      </w:r>
      <w:r>
        <w:rPr>
          <w:rFonts w:eastAsia="Malgun Gothic"/>
        </w:rPr>
        <w:t>I.</w:t>
      </w:r>
      <w:r>
        <w:rPr>
          <w:rFonts w:eastAsia="Malgun Gothic"/>
        </w:rPr>
        <w:tab/>
        <w:t>Introduction</w:t>
      </w:r>
    </w:p>
    <w:p w:rsidR="00555706" w:rsidRDefault="00FB1C40">
      <w:pPr>
        <w:pStyle w:val="SingleTxtG"/>
      </w:pPr>
      <w:r>
        <w:t>1.</w:t>
      </w:r>
      <w:r>
        <w:tab/>
        <w:t xml:space="preserve">The Committee considered the report of </w:t>
      </w:r>
      <w:r>
        <w:rPr>
          <w:color w:val="FF0000"/>
        </w:rPr>
        <w:t>country</w:t>
      </w:r>
      <w:r>
        <w:t xml:space="preserve"> (CRC/C/OPAC/</w:t>
      </w:r>
      <w:r>
        <w:rPr>
          <w:color w:val="FF0000"/>
        </w:rPr>
        <w:t>XXX</w:t>
      </w:r>
      <w:r>
        <w:t>/</w:t>
      </w:r>
      <w:r>
        <w:rPr>
          <w:color w:val="FF0000"/>
        </w:rPr>
        <w:t>Y</w:t>
      </w:r>
      <w:r>
        <w:t xml:space="preserve">) at its </w:t>
      </w:r>
      <w:r>
        <w:rPr>
          <w:color w:val="FF0000"/>
        </w:rPr>
        <w:t>number</w:t>
      </w:r>
      <w:r>
        <w:t xml:space="preserve"> meeting (see CRC/C/SR.</w:t>
      </w:r>
      <w:r>
        <w:rPr>
          <w:color w:val="FF0000"/>
        </w:rPr>
        <w:t>XXX</w:t>
      </w:r>
      <w:r>
        <w:t xml:space="preserve">), held on </w:t>
      </w:r>
      <w:r>
        <w:rPr>
          <w:color w:val="FF0000"/>
        </w:rPr>
        <w:t>date</w:t>
      </w:r>
      <w:r>
        <w:t xml:space="preserve">, and adopted the present concluding observations at its </w:t>
      </w:r>
      <w:r>
        <w:rPr>
          <w:color w:val="FF0000"/>
        </w:rPr>
        <w:t>number</w:t>
      </w:r>
      <w:r>
        <w:t xml:space="preserve"> meeting, held on</w:t>
      </w:r>
      <w:r>
        <w:rPr>
          <w:color w:val="FF0000"/>
        </w:rPr>
        <w:t xml:space="preserve"> date</w:t>
      </w:r>
      <w:r>
        <w:t xml:space="preserve">. </w:t>
      </w:r>
    </w:p>
    <w:p w:rsidR="00555706" w:rsidRDefault="00FB1C40">
      <w:pPr>
        <w:pStyle w:val="SingleTxtG"/>
      </w:pPr>
      <w:r>
        <w:t>2.</w:t>
      </w:r>
      <w:r>
        <w:tab/>
        <w:t>The Committee welcomes the submission of the report of the State party and the written replies to the list of issues (CRC/C/OPAC/</w:t>
      </w:r>
      <w:r>
        <w:rPr>
          <w:color w:val="FF0000"/>
        </w:rPr>
        <w:t>XXX</w:t>
      </w:r>
      <w:r>
        <w:t>/Q/</w:t>
      </w:r>
      <w:r>
        <w:rPr>
          <w:color w:val="FF0000"/>
        </w:rPr>
        <w:t>Y</w:t>
      </w:r>
      <w:r>
        <w:t xml:space="preserve">/Add.1). The Committee expresses appreciation for the constructive dialogue held with the </w:t>
      </w:r>
      <w:r>
        <w:rPr>
          <w:color w:val="FF0000"/>
        </w:rPr>
        <w:t>[</w:t>
      </w:r>
      <w:r>
        <w:t>high-level and</w:t>
      </w:r>
      <w:r>
        <w:rPr>
          <w:color w:val="FF0000"/>
        </w:rPr>
        <w:t xml:space="preserve">] </w:t>
      </w:r>
      <w:r>
        <w:t xml:space="preserve">multisectoral delegation of the State party. </w:t>
      </w:r>
    </w:p>
    <w:p w:rsidR="00555706" w:rsidRDefault="00FB1C40">
      <w:pPr>
        <w:pStyle w:val="SingleTxtG"/>
        <w:rPr>
          <w:b/>
          <w:bCs/>
        </w:rPr>
      </w:pPr>
      <w:r>
        <w:t>3.</w:t>
      </w:r>
      <w:r>
        <w:tab/>
        <w:t xml:space="preserve">The Committee reminds the State party that the present concluding observations should be read in conjunction with the concluding observations on the </w:t>
      </w:r>
      <w:r>
        <w:rPr>
          <w:color w:val="FF0000"/>
        </w:rPr>
        <w:t xml:space="preserve">[initial] [combined number periodic] [number periodic] </w:t>
      </w:r>
      <w:r>
        <w:t>report</w:t>
      </w:r>
      <w:r>
        <w:rPr>
          <w:color w:val="FF0000"/>
        </w:rPr>
        <w:t>s</w:t>
      </w:r>
      <w:r>
        <w:t xml:space="preserve"> submitted by the State party under the Convention (CRC/C/</w:t>
      </w:r>
      <w:r>
        <w:rPr>
          <w:color w:val="FF0000"/>
        </w:rPr>
        <w:t>XXX</w:t>
      </w:r>
      <w:r>
        <w:t>/CO/</w:t>
      </w:r>
      <w:r>
        <w:rPr>
          <w:color w:val="FF0000"/>
        </w:rPr>
        <w:t>Y</w:t>
      </w:r>
      <w:r>
        <w:t xml:space="preserve">), adopted on </w:t>
      </w:r>
      <w:r>
        <w:rPr>
          <w:color w:val="FF0000"/>
        </w:rPr>
        <w:t>date</w:t>
      </w:r>
      <w:r>
        <w:t>, and on the report of the State party submitted under the Optional Protocol on the sale of children, child prostitution and child pornography (CRC/C/OPSC/</w:t>
      </w:r>
      <w:r>
        <w:rPr>
          <w:color w:val="FF0000"/>
        </w:rPr>
        <w:t>XXX</w:t>
      </w:r>
      <w:r>
        <w:t>/CO/</w:t>
      </w:r>
      <w:r>
        <w:rPr>
          <w:color w:val="FF0000"/>
        </w:rPr>
        <w:t>Y</w:t>
      </w:r>
      <w:r>
        <w:t xml:space="preserve">), adopted on </w:t>
      </w:r>
      <w:r>
        <w:rPr>
          <w:color w:val="FF0000"/>
        </w:rPr>
        <w:t>date</w:t>
      </w:r>
      <w:r>
        <w:t xml:space="preserve">. </w:t>
      </w:r>
      <w:r>
        <w:rPr>
          <w:b/>
          <w:bCs/>
          <w:highlight w:val="yellow"/>
        </w:rPr>
        <w:t>[[Exact wording depends on whether the State has ratified OPSC.]]</w:t>
      </w:r>
    </w:p>
    <w:p w:rsidR="00555706" w:rsidRDefault="00FB1C40">
      <w:pPr>
        <w:pStyle w:val="HChG"/>
        <w:keepNext w:val="0"/>
        <w:rPr>
          <w:rFonts w:eastAsia="Malgun Gothic"/>
        </w:rPr>
      </w:pPr>
      <w:r>
        <w:rPr>
          <w:rFonts w:eastAsia="Malgun Gothic"/>
        </w:rPr>
        <w:tab/>
        <w:t>II.</w:t>
      </w:r>
      <w:r>
        <w:rPr>
          <w:rFonts w:eastAsia="Malgun Gothic"/>
        </w:rPr>
        <w:tab/>
        <w:t>General observations</w:t>
      </w:r>
    </w:p>
    <w:p w:rsidR="00555706" w:rsidRDefault="00FB1C40">
      <w:pPr>
        <w:pStyle w:val="H1G"/>
        <w:keepNext w:val="0"/>
        <w:rPr>
          <w:rFonts w:eastAsia="Malgun Gothic"/>
        </w:rPr>
      </w:pPr>
      <w:r>
        <w:rPr>
          <w:rFonts w:eastAsia="Malgun Gothic"/>
        </w:rPr>
        <w:tab/>
      </w:r>
      <w:r>
        <w:rPr>
          <w:rFonts w:eastAsia="Malgun Gothic"/>
        </w:rPr>
        <w:tab/>
        <w:t xml:space="preserve">Positive aspects </w:t>
      </w:r>
      <w:r>
        <w:rPr>
          <w:highlight w:val="yellow"/>
        </w:rPr>
        <w:t>[[When there are two or more 12-point subheadings, they should be lettered (A., B., C. etc., as in sect. IX]]</w:t>
      </w:r>
    </w:p>
    <w:p w:rsidR="00555706" w:rsidRDefault="00FB1C40">
      <w:pPr>
        <w:pStyle w:val="HChG"/>
        <w:keepNext w:val="0"/>
      </w:pPr>
      <w:r>
        <w:rPr>
          <w:rFonts w:eastAsia="Malgun Gothic"/>
        </w:rPr>
        <w:tab/>
      </w:r>
      <w:r>
        <w:t>III.</w:t>
      </w:r>
      <w:r>
        <w:tab/>
        <w:t>General measures of implementation</w:t>
      </w:r>
    </w:p>
    <w:p w:rsidR="00555706" w:rsidRDefault="00FB1C40">
      <w:pPr>
        <w:pStyle w:val="HChG"/>
        <w:keepNext w:val="0"/>
        <w:rPr>
          <w:rFonts w:eastAsia="Malgun Gothic"/>
        </w:rPr>
      </w:pPr>
      <w:r>
        <w:rPr>
          <w:rFonts w:eastAsia="Malgun Gothic"/>
        </w:rPr>
        <w:tab/>
        <w:t>IV.</w:t>
      </w:r>
      <w:r>
        <w:rPr>
          <w:rFonts w:eastAsia="Malgun Gothic"/>
        </w:rPr>
        <w:tab/>
        <w:t>Prevention</w:t>
      </w:r>
    </w:p>
    <w:p w:rsidR="00555706" w:rsidRDefault="00FB1C40">
      <w:pPr>
        <w:pStyle w:val="HChG"/>
        <w:rPr>
          <w:rFonts w:eastAsia="Malgun Gothic"/>
        </w:rPr>
      </w:pPr>
      <w:r>
        <w:rPr>
          <w:rFonts w:eastAsia="Malgun Gothic"/>
        </w:rPr>
        <w:lastRenderedPageBreak/>
        <w:tab/>
        <w:t>V.</w:t>
      </w:r>
      <w:r>
        <w:rPr>
          <w:rFonts w:eastAsia="Malgun Gothic"/>
        </w:rPr>
        <w:tab/>
        <w:t>Prohibition and related matters</w:t>
      </w:r>
    </w:p>
    <w:p w:rsidR="00555706" w:rsidRDefault="00FB1C40">
      <w:pPr>
        <w:pStyle w:val="HChG"/>
        <w:rPr>
          <w:rFonts w:eastAsia="Malgun Gothic"/>
        </w:rPr>
      </w:pPr>
      <w:r>
        <w:rPr>
          <w:rFonts w:eastAsia="Malgun Gothic"/>
        </w:rPr>
        <w:tab/>
        <w:t>VI.</w:t>
      </w:r>
      <w:r>
        <w:rPr>
          <w:rFonts w:eastAsia="Malgun Gothic"/>
        </w:rPr>
        <w:tab/>
        <w:t>Protection, recovery and reintegration</w:t>
      </w:r>
    </w:p>
    <w:p w:rsidR="00555706" w:rsidRDefault="00FB1C40">
      <w:pPr>
        <w:pStyle w:val="HChG"/>
        <w:rPr>
          <w:rFonts w:eastAsia="Malgun Gothic"/>
        </w:rPr>
      </w:pPr>
      <w:r>
        <w:rPr>
          <w:rFonts w:eastAsia="Malgun Gothic"/>
        </w:rPr>
        <w:tab/>
        <w:t>VII.</w:t>
      </w:r>
      <w:r>
        <w:rPr>
          <w:rFonts w:eastAsia="Malgun Gothic"/>
        </w:rPr>
        <w:tab/>
        <w:t>International assistance and cooperation</w:t>
      </w:r>
    </w:p>
    <w:p w:rsidR="00555706" w:rsidRDefault="00FB1C40">
      <w:pPr>
        <w:pStyle w:val="SingleTxtG"/>
        <w:rPr>
          <w:rFonts w:eastAsia="Malgun Gothic"/>
          <w:b/>
          <w:bCs/>
        </w:rPr>
      </w:pPr>
      <w:r>
        <w:rPr>
          <w:rFonts w:eastAsia="Malgun Gothic"/>
        </w:rPr>
        <w:t>4.</w:t>
      </w:r>
      <w:r>
        <w:rPr>
          <w:rFonts w:eastAsia="Malgun Gothic"/>
        </w:rPr>
        <w:tab/>
      </w:r>
      <w:r>
        <w:rPr>
          <w:b/>
          <w:bCs/>
        </w:rPr>
        <w:t xml:space="preserve">The Committee recommends that the State party continue and strengthen its cooperation with the International Committee of the Red Cross and with the Special Representative of the Secretary-General for Children and Armed Conflict, and that it explore increased cooperation with </w:t>
      </w:r>
      <w:r>
        <w:rPr>
          <w:b/>
          <w:bCs/>
          <w:color w:val="FF0000"/>
        </w:rPr>
        <w:t xml:space="preserve">[the United Nations Children’s Fund] [UNICEF] </w:t>
      </w:r>
      <w:r>
        <w:rPr>
          <w:b/>
          <w:bCs/>
        </w:rPr>
        <w:t>and other United Nations entities for the implementation of the Optional Protocol.</w:t>
      </w:r>
    </w:p>
    <w:p w:rsidR="00555706" w:rsidRDefault="00FB1C40">
      <w:pPr>
        <w:pStyle w:val="HChG"/>
        <w:rPr>
          <w:rFonts w:eastAsia="Malgun Gothic"/>
        </w:rPr>
      </w:pPr>
      <w:r>
        <w:rPr>
          <w:rFonts w:eastAsia="Malgun Gothic"/>
        </w:rPr>
        <w:tab/>
        <w:t>VIII.</w:t>
      </w:r>
      <w:r>
        <w:rPr>
          <w:rFonts w:eastAsia="Malgun Gothic"/>
        </w:rPr>
        <w:tab/>
        <w:t>Ratification of the Optional Protocol on a communications procedure</w:t>
      </w:r>
    </w:p>
    <w:p w:rsidR="00555706" w:rsidRDefault="00FB1C40">
      <w:pPr>
        <w:pStyle w:val="SingleTxtG"/>
        <w:rPr>
          <w:b/>
          <w:bCs/>
        </w:rPr>
      </w:pPr>
      <w:r>
        <w:t>5.</w:t>
      </w:r>
      <w:r>
        <w:tab/>
      </w:r>
      <w:r>
        <w:rPr>
          <w:b/>
          <w:bCs/>
        </w:rPr>
        <w:t>The Committee recommends that, in order to further strengthen the fulfilment of children’s rights, the State party ratify the Optional Protocol on a communications procedure.</w:t>
      </w:r>
    </w:p>
    <w:p w:rsidR="00555706" w:rsidRDefault="00FB1C40">
      <w:pPr>
        <w:pStyle w:val="HChG"/>
      </w:pPr>
      <w:r>
        <w:rPr>
          <w:rFonts w:eastAsia="Malgun Gothic"/>
        </w:rPr>
        <w:tab/>
        <w:t>IX</w:t>
      </w:r>
      <w:r>
        <w:t>.</w:t>
      </w:r>
      <w:r>
        <w:tab/>
        <w:t>Implementation and reporting</w:t>
      </w:r>
    </w:p>
    <w:p w:rsidR="00555706" w:rsidRDefault="00FB1C40">
      <w:pPr>
        <w:pStyle w:val="H1G"/>
      </w:pPr>
      <w:r>
        <w:tab/>
        <w:t>A.</w:t>
      </w:r>
      <w:r>
        <w:tab/>
        <w:t>Follow-up and dissemination</w:t>
      </w:r>
    </w:p>
    <w:p w:rsidR="00555706" w:rsidRDefault="00FB1C40">
      <w:pPr>
        <w:pStyle w:val="SingleTxtG"/>
        <w:rPr>
          <w:b/>
          <w:bCs/>
        </w:rPr>
      </w:pPr>
      <w:r>
        <w:t>6.</w:t>
      </w:r>
      <w:r>
        <w:tab/>
      </w:r>
      <w:r>
        <w:rPr>
          <w:b/>
          <w:bCs/>
        </w:rPr>
        <w:t xml:space="preserve">The Committee recommends that the State party take all appropriate measures to ensure that the recommendations contained in the present concluding observations are fully implemented, including by transmitting them to </w:t>
      </w:r>
      <w:r>
        <w:rPr>
          <w:b/>
          <w:bCs/>
          <w:color w:val="FF0000"/>
        </w:rPr>
        <w:t xml:space="preserve">[entities] </w:t>
      </w:r>
      <w:r>
        <w:rPr>
          <w:b/>
          <w:bCs/>
        </w:rPr>
        <w:t>for appropriate consideration and further action.</w:t>
      </w:r>
    </w:p>
    <w:p w:rsidR="00555706" w:rsidRDefault="00FB1C40">
      <w:pPr>
        <w:pStyle w:val="SingleTxtG"/>
        <w:rPr>
          <w:b/>
          <w:bCs/>
        </w:rPr>
      </w:pPr>
      <w:r>
        <w:t>7.</w:t>
      </w:r>
      <w:r>
        <w:tab/>
      </w:r>
      <w:r>
        <w:rPr>
          <w:b/>
          <w:bCs/>
        </w:rPr>
        <w:t xml:space="preserve">The Committee recommends that the report and the written replies to the list of issues submitted by the State party and the present concluding observations be made widely available, including through the Internet, to </w:t>
      </w:r>
      <w:r>
        <w:rPr>
          <w:b/>
          <w:bCs/>
          <w:highlight w:val="yellow"/>
        </w:rPr>
        <w:t>[[exact list may vary]]</w:t>
      </w:r>
      <w:r>
        <w:rPr>
          <w:b/>
          <w:bCs/>
        </w:rPr>
        <w:t xml:space="preserve"> the public at large, civil society organizations, youth groups, professional groups and children, in order to generate debate on and awareness of the Optional Protocol and its implementation and monitoring.</w:t>
      </w:r>
    </w:p>
    <w:p w:rsidR="00555706" w:rsidRDefault="00FB1C40">
      <w:pPr>
        <w:pStyle w:val="H1G"/>
        <w:rPr>
          <w:rFonts w:eastAsia="Malgun Gothic"/>
        </w:rPr>
      </w:pPr>
      <w:r>
        <w:rPr>
          <w:rFonts w:eastAsia="Malgun Gothic"/>
        </w:rPr>
        <w:tab/>
        <w:t>B.</w:t>
      </w:r>
      <w:r>
        <w:rPr>
          <w:rFonts w:eastAsia="Malgun Gothic"/>
        </w:rPr>
        <w:tab/>
        <w:t>Next periodic report</w:t>
      </w:r>
    </w:p>
    <w:p w:rsidR="00555706" w:rsidRDefault="00FB1C40">
      <w:pPr>
        <w:pStyle w:val="SingleTxtG"/>
        <w:rPr>
          <w:b/>
          <w:bCs/>
        </w:rPr>
      </w:pPr>
      <w:r>
        <w:t>8.</w:t>
      </w:r>
      <w:r>
        <w:tab/>
      </w:r>
      <w:r>
        <w:rPr>
          <w:b/>
          <w:bCs/>
        </w:rPr>
        <w:t>In accordance with article 8 (2) of the Optional Protocol, the Committee requests the State party to include further information on the implementation of the Optional Protocol and the present concluding observations in its next periodic report to be submitted in accordance with article 44 of the Convention.</w:t>
      </w:r>
    </w:p>
    <w:p w:rsidR="00555706" w:rsidRDefault="00FB1C40">
      <w:pPr>
        <w:spacing w:before="240"/>
        <w:jc w:val="center"/>
        <w:rPr>
          <w:u w:val="single"/>
        </w:rPr>
      </w:pPr>
      <w:r>
        <w:rPr>
          <w:u w:val="single"/>
        </w:rPr>
        <w:tab/>
      </w:r>
      <w:r>
        <w:rPr>
          <w:u w:val="single"/>
        </w:rPr>
        <w:tab/>
      </w:r>
      <w:r>
        <w:rPr>
          <w:u w:val="single"/>
        </w:rPr>
        <w:tab/>
      </w:r>
    </w:p>
    <w:sectPr w:rsidR="00555706">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706" w:rsidRDefault="00555706"/>
  </w:endnote>
  <w:endnote w:type="continuationSeparator" w:id="0">
    <w:p w:rsidR="00555706" w:rsidRDefault="00555706">
      <w:pPr>
        <w:pStyle w:val="Piedepgina"/>
      </w:pPr>
    </w:p>
  </w:endnote>
  <w:endnote w:type="continuationNotice" w:id="1">
    <w:p w:rsidR="00555706" w:rsidRDefault="00555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FB1C40">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AF1DDC">
      <w:rPr>
        <w:b/>
        <w:noProof/>
        <w:sz w:val="18"/>
      </w:rPr>
      <w:t>2</w:t>
    </w:r>
    <w:r>
      <w:rPr>
        <w:b/>
        <w:sz w:val="18"/>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FB1C40">
    <w:pPr>
      <w:pStyle w:val="Piedepgina"/>
      <w:tabs>
        <w:tab w:val="right" w:pos="9639"/>
      </w:tabs>
      <w:rPr>
        <w:sz w:val="20"/>
      </w:rPr>
    </w:pPr>
    <w:fldSimple w:instr=" DOCPROPERTY  gdocf  \* MERGEFORMAT ">
      <w:r>
        <w:t>gdocf</w:t>
      </w:r>
    </w:fldSimple>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FB1C40">
    <w:pPr>
      <w:pStyle w:val="Piedepgina"/>
      <w:spacing w:before="120"/>
      <w:rPr>
        <w:noProof/>
        <w:sz w:val="20"/>
        <w:lang w:eastAsia="fr-FR"/>
      </w:rPr>
    </w:pPr>
    <w:r>
      <w:rPr>
        <w:noProof/>
        <w:sz w:val="20"/>
        <w:lang w:val="fr-CH" w:eastAsia="fr-CH"/>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555706">
      <w:tc>
        <w:tcPr>
          <w:tcW w:w="1848" w:type="dxa"/>
          <w:vAlign w:val="bottom"/>
        </w:tcPr>
        <w:p w:rsidR="00555706" w:rsidRDefault="00FB1C40">
          <w:pPr>
            <w:pStyle w:val="Piedepgina"/>
            <w:spacing w:before="120" w:after="120"/>
            <w:jc w:val="right"/>
          </w:pPr>
          <w:r>
            <w:rPr>
              <w:noProof/>
              <w:sz w:val="20"/>
              <w:lang w:val="fr-CH" w:eastAsia="fr-CH"/>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555706" w:rsidRDefault="00555706">
          <w:pPr>
            <w:pStyle w:val="Piedepgina"/>
            <w:jc w:val="right"/>
          </w:pPr>
        </w:p>
      </w:tc>
    </w:tr>
  </w:tbl>
  <w:p w:rsidR="00555706" w:rsidRDefault="00FB1C40">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706" w:rsidRDefault="00FB1C40">
      <w:pPr>
        <w:pStyle w:val="Piedepgina"/>
        <w:tabs>
          <w:tab w:val="right" w:pos="2155"/>
        </w:tabs>
        <w:spacing w:after="80" w:line="240" w:lineRule="atLeast"/>
        <w:ind w:left="680"/>
        <w:rPr>
          <w:u w:val="single"/>
        </w:rPr>
      </w:pPr>
      <w:r>
        <w:rPr>
          <w:u w:val="single"/>
        </w:rPr>
        <w:tab/>
      </w:r>
    </w:p>
  </w:footnote>
  <w:footnote w:type="continuationSeparator" w:id="0">
    <w:p w:rsidR="00555706" w:rsidRDefault="00FB1C40">
      <w:pPr>
        <w:pStyle w:val="Piedepgina"/>
        <w:tabs>
          <w:tab w:val="right" w:pos="2155"/>
        </w:tabs>
        <w:spacing w:after="80" w:line="240" w:lineRule="atLeast"/>
        <w:ind w:left="680"/>
        <w:rPr>
          <w:u w:val="single"/>
        </w:rPr>
      </w:pPr>
      <w:r>
        <w:rPr>
          <w:u w:val="single"/>
        </w:rPr>
        <w:tab/>
      </w:r>
    </w:p>
  </w:footnote>
  <w:footnote w:type="continuationNotice" w:id="1">
    <w:p w:rsidR="00555706" w:rsidRDefault="00555706">
      <w:pPr>
        <w:rPr>
          <w:sz w:val="2"/>
          <w:szCs w:val="2"/>
        </w:rPr>
      </w:pPr>
    </w:p>
  </w:footnote>
  <w:footnote w:id="2">
    <w:p w:rsidR="00555706" w:rsidRDefault="00FB1C40">
      <w:pPr>
        <w:pStyle w:val="Textonotapie"/>
        <w:rPr>
          <w:lang w:val="en-US"/>
        </w:rPr>
      </w:pPr>
      <w:r>
        <w:tab/>
      </w:r>
      <w:r w:rsidRPr="00FB1C40">
        <w:rPr>
          <w:rStyle w:val="Refdenotaalpie"/>
          <w:sz w:val="20"/>
          <w:vertAlign w:val="baseline"/>
        </w:rPr>
        <w:t>*</w:t>
      </w:r>
      <w:r>
        <w:rPr>
          <w:sz w:val="20"/>
        </w:rPr>
        <w:tab/>
      </w:r>
      <w:r>
        <w:t xml:space="preserve">Adopted by the Committee at its </w:t>
      </w:r>
      <w:r w:rsidRPr="00FB1C40">
        <w:rPr>
          <w:color w:val="FF0000"/>
        </w:rPr>
        <w:t>[</w:t>
      </w:r>
      <w:r>
        <w:rPr>
          <w:color w:val="FF0000"/>
        </w:rPr>
        <w:t>number]</w:t>
      </w:r>
      <w:r>
        <w:t xml:space="preserve"> 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FB1C40">
    <w:pPr>
      <w:pStyle w:val="Encabezado"/>
    </w:pPr>
    <w:fldSimple w:instr=" DOCPROPERTY  symh  \* MERGEFORMAT ">
      <w:r>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FB1C40">
    <w:pPr>
      <w:pStyle w:val="Encabezado"/>
      <w:jc w:val="right"/>
    </w:pPr>
    <w:fldSimple w:instr=" DOCPROPERTY  symh  \* MERGEFORMAT ">
      <w:r>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706" w:rsidRDefault="00555706">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567"/>
  <w:hyphenationZone w:val="425"/>
  <w:evenAndOddHeaders/>
  <w:characterSpacingControl w:val="doNotCompress"/>
  <w:hdrShapeDefaults>
    <o:shapedefaults v:ext="edit" spidmax="9625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06"/>
    <w:rsid w:val="00555706"/>
    <w:rsid w:val="00AF1DDC"/>
    <w:rsid w:val="00FB1C4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ftref,referencia nota al pie,BVI fnr,4_Footnote text,Footnote text,callout,nota pié di pagina,Fußnotenzeichen DISS,16 Point,Superscript 6 Point,Footnotes refss,Footnote Reference1,Footnote Reference in text"/>
    <w:basedOn w:val="Fuentedeprrafopredeter"/>
    <w:link w:val="4GCharCharChar"/>
    <w:uiPriority w:val="99"/>
    <w:qFormat/>
    <w:rPr>
      <w:rFonts w:ascii="Times New Roman" w:hAnsi="Times New Roman"/>
      <w:sz w:val="18"/>
      <w:vertAlign w:val="superscript"/>
      <w:lang w:val="en-GB"/>
    </w:rPr>
  </w:style>
  <w:style w:type="character" w:styleId="Refdenotaalfinal">
    <w:name w:val="endnote reference"/>
    <w:aliases w:val="1_G"/>
    <w:basedOn w:val="Refdenotaalpie"/>
    <w:qFormat/>
    <w:rPr>
      <w:rFonts w:ascii="Times New Roman" w:hAnsi="Times New Roman"/>
      <w:sz w:val="18"/>
      <w:vertAlign w:val="superscript"/>
      <w:lang w:val="en-GB"/>
    </w:rPr>
  </w:style>
  <w:style w:type="table" w:styleId="Tablaconcuadrcula">
    <w:name w:val="Table Grid"/>
    <w:basedOn w:val="Tabla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Pr>
      <w:color w:val="0000FF"/>
      <w:u w:val="none"/>
    </w:rPr>
  </w:style>
  <w:style w:type="character" w:styleId="Hipervnculovisitado">
    <w:name w:val="FollowedHyperlink"/>
    <w:basedOn w:val="Fuentedeprrafopredeter"/>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basedOn w:val="Fuentedeprrafopredeter"/>
    <w:link w:val="Textonotaalfinal"/>
    <w:rPr>
      <w:rFonts w:ascii="Times New Roman" w:hAnsi="Times New Roman" w:cs="Times New Roman"/>
      <w:sz w:val="18"/>
      <w:szCs w:val="20"/>
      <w:lang w:val="en-GB"/>
    </w:rPr>
  </w:style>
  <w:style w:type="character" w:styleId="Nmerodepgina">
    <w:name w:val="page number"/>
    <w:aliases w:val="7_G"/>
    <w:basedOn w:val="Fuentedeprrafopredeter"/>
    <w:qFormat/>
    <w:rPr>
      <w:rFonts w:ascii="Times New Roman" w:hAnsi="Times New Roman"/>
      <w:b/>
      <w:sz w:val="18"/>
      <w:lang w:val="en-GB"/>
    </w:rPr>
  </w:style>
  <w:style w:type="character" w:customStyle="1" w:styleId="Ttulo1Car">
    <w:name w:val="Título 1 Car"/>
    <w:aliases w:val="Table_G Car"/>
    <w:basedOn w:val="Fuentedeprrafopredeter"/>
    <w:link w:val="Ttulo1"/>
    <w:rPr>
      <w:rFonts w:ascii="Times New Roman" w:hAnsi="Times New Roman" w:cs="Times New Roman"/>
      <w:sz w:val="20"/>
      <w:szCs w:val="20"/>
    </w:rPr>
  </w:style>
  <w:style w:type="character" w:customStyle="1" w:styleId="Ttulo2Car">
    <w:name w:val="Título 2 Car"/>
    <w:basedOn w:val="Fuentedeprrafopredeter"/>
    <w:link w:val="Ttulo2"/>
    <w:semiHidden/>
    <w:rPr>
      <w:rFonts w:ascii="Times New Roman" w:hAnsi="Times New Roman" w:cs="Times New Roman"/>
      <w:sz w:val="20"/>
      <w:szCs w:val="20"/>
    </w:rPr>
  </w:style>
  <w:style w:type="character" w:customStyle="1" w:styleId="Ttulo3Car">
    <w:name w:val="Título 3 Car"/>
    <w:basedOn w:val="Fuentedeprrafopredeter"/>
    <w:link w:val="Ttulo3"/>
    <w:semiHidden/>
    <w:rPr>
      <w:rFonts w:ascii="Times New Roman" w:hAnsi="Times New Roman" w:cs="Times New Roman"/>
      <w:sz w:val="20"/>
      <w:szCs w:val="20"/>
    </w:rPr>
  </w:style>
  <w:style w:type="character" w:customStyle="1" w:styleId="Ttulo4Car">
    <w:name w:val="Título 4 Car"/>
    <w:basedOn w:val="Fuentedeprrafopredeter"/>
    <w:link w:val="Ttulo4"/>
    <w:semiHidden/>
    <w:rPr>
      <w:rFonts w:ascii="Times New Roman" w:hAnsi="Times New Roman" w:cs="Times New Roman"/>
      <w:sz w:val="20"/>
      <w:szCs w:val="20"/>
    </w:rPr>
  </w:style>
  <w:style w:type="character" w:customStyle="1" w:styleId="Ttulo5Car">
    <w:name w:val="Título 5 Car"/>
    <w:basedOn w:val="Fuentedeprrafopredeter"/>
    <w:link w:val="Ttulo5"/>
    <w:semiHidden/>
    <w:rPr>
      <w:rFonts w:ascii="Times New Roman" w:hAnsi="Times New Roman" w:cs="Times New Roman"/>
      <w:sz w:val="20"/>
      <w:szCs w:val="20"/>
    </w:rPr>
  </w:style>
  <w:style w:type="character" w:customStyle="1" w:styleId="Ttulo6Car">
    <w:name w:val="Título 6 Car"/>
    <w:basedOn w:val="Fuentedeprrafopredeter"/>
    <w:link w:val="Ttulo6"/>
    <w:semiHidden/>
    <w:rPr>
      <w:rFonts w:ascii="Times New Roman" w:hAnsi="Times New Roman" w:cs="Times New Roman"/>
      <w:sz w:val="20"/>
      <w:szCs w:val="20"/>
    </w:rPr>
  </w:style>
  <w:style w:type="character" w:customStyle="1" w:styleId="Ttulo7Car">
    <w:name w:val="Título 7 Car"/>
    <w:basedOn w:val="Fuentedeprrafopredeter"/>
    <w:link w:val="Ttulo7"/>
    <w:semiHidden/>
    <w:rPr>
      <w:rFonts w:ascii="Times New Roman" w:hAnsi="Times New Roman" w:cs="Times New Roman"/>
      <w:sz w:val="20"/>
      <w:szCs w:val="20"/>
    </w:rPr>
  </w:style>
  <w:style w:type="character" w:customStyle="1" w:styleId="Ttulo8Car">
    <w:name w:val="Título 8 Car"/>
    <w:basedOn w:val="Fuentedeprrafopredeter"/>
    <w:link w:val="Ttulo8"/>
    <w:semiHidden/>
    <w:rPr>
      <w:rFonts w:ascii="Times New Roman" w:hAnsi="Times New Roman" w:cs="Times New Roman"/>
      <w:sz w:val="20"/>
      <w:szCs w:val="20"/>
    </w:rPr>
  </w:style>
  <w:style w:type="character" w:customStyle="1" w:styleId="Ttulo9Car">
    <w:name w:val="Título 9 Car"/>
    <w:basedOn w:val="Fuentedeprrafopredete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Refdenotaalpie"/>
    <w:uiPriority w:val="99"/>
    <w:pPr>
      <w:suppressAutoHyphens w:val="0"/>
      <w:spacing w:after="160" w:line="240" w:lineRule="exact"/>
      <w:jc w:val="both"/>
    </w:pPr>
    <w:rPr>
      <w:rFonts w:eastAsiaTheme="minorHAnsi" w:cstheme="minorBidi"/>
      <w:sz w:val="18"/>
      <w:szCs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EB78-2717-4384-9010-2E752A4B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588</Words>
  <Characters>3238</Characters>
  <Application>Microsoft Office Word</Application>
  <DocSecurity>0</DocSecurity>
  <Lines>26</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8</cp:revision>
  <cp:lastPrinted>2017-10-25T12:09:00Z</cp:lastPrinted>
  <dcterms:created xsi:type="dcterms:W3CDTF">2018-03-15T08:38:00Z</dcterms:created>
  <dcterms:modified xsi:type="dcterms:W3CDTF">2018-06-27T06:46:00Z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