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F2216A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F2216A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F2216A" w:rsidRDefault="00D44142" w:rsidP="00D44142">
            <w:pPr>
              <w:spacing w:after="80" w:line="300" w:lineRule="exact"/>
              <w:rPr>
                <w:sz w:val="28"/>
              </w:rPr>
            </w:pPr>
            <w:r w:rsidRPr="00F2216A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F2216A" w:rsidRDefault="00607466" w:rsidP="004A19E3">
            <w:pPr>
              <w:spacing w:after="20"/>
              <w:jc w:val="right"/>
            </w:pPr>
            <w:r w:rsidRPr="00F2216A">
              <w:rPr>
                <w:sz w:val="40"/>
              </w:rPr>
              <w:t>C</w:t>
            </w:r>
            <w:r w:rsidR="004A19E3" w:rsidRPr="00F2216A">
              <w:rPr>
                <w:sz w:val="40"/>
              </w:rPr>
              <w:t>RC</w:t>
            </w:r>
            <w:r w:rsidR="00D44142" w:rsidRPr="00F2216A">
              <w:t>/</w:t>
            </w:r>
            <w:r w:rsidR="00D1193F">
              <w:fldChar w:fldCharType="begin"/>
            </w:r>
            <w:r w:rsidR="00D1193F">
              <w:instrText xml:space="preserve"> DOCPROPERTY  sym1  \* MERGEFORMAT </w:instrText>
            </w:r>
            <w:r w:rsidR="00D1193F">
              <w:fldChar w:fldCharType="separate"/>
            </w:r>
            <w:r w:rsidR="00F520C6" w:rsidRPr="00F2216A">
              <w:t>sym1</w:t>
            </w:r>
            <w:r w:rsidR="00D1193F">
              <w:fldChar w:fldCharType="end"/>
            </w:r>
          </w:p>
        </w:tc>
      </w:tr>
      <w:tr w:rsidR="002D5AAC" w:rsidRPr="00F2216A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F2216A" w:rsidRDefault="002E5067" w:rsidP="00F90E40">
            <w:pPr>
              <w:spacing w:before="120"/>
              <w:jc w:val="center"/>
            </w:pPr>
            <w:r w:rsidRPr="00F2216A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F2216A" w:rsidRDefault="004A19E3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F2216A">
              <w:rPr>
                <w:b/>
                <w:sz w:val="40"/>
                <w:szCs w:val="40"/>
              </w:rPr>
              <w:t>Конвенция</w:t>
            </w:r>
            <w:r w:rsidRPr="00F2216A">
              <w:rPr>
                <w:b/>
                <w:sz w:val="40"/>
                <w:szCs w:val="40"/>
              </w:rPr>
              <w:br/>
              <w:t>о правах ребенка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F2216A" w:rsidRDefault="00207121" w:rsidP="00207121">
            <w:pPr>
              <w:spacing w:before="240" w:line="240" w:lineRule="exact"/>
            </w:pPr>
            <w:r w:rsidRPr="00F2216A">
              <w:t xml:space="preserve">Distr.: </w:t>
            </w:r>
            <w:r w:rsidRPr="00F2216A">
              <w:fldChar w:fldCharType="begin"/>
            </w:r>
            <w:r w:rsidRPr="00F2216A">
              <w:instrText xml:space="preserve"> DOCPROPERTY  dist  \* MERGEFORMAT </w:instrText>
            </w:r>
            <w:r w:rsidRPr="00F2216A">
              <w:fldChar w:fldCharType="separate"/>
            </w:r>
            <w:proofErr w:type="spellStart"/>
            <w:r w:rsidR="00F520C6" w:rsidRPr="00F2216A">
              <w:t>dist</w:t>
            </w:r>
            <w:proofErr w:type="spellEnd"/>
            <w:r w:rsidRPr="00F2216A">
              <w:fldChar w:fldCharType="end"/>
            </w:r>
          </w:p>
          <w:p w:rsidR="00207121" w:rsidRPr="00F2216A" w:rsidRDefault="00207121" w:rsidP="00207121">
            <w:r w:rsidRPr="00F2216A">
              <w:fldChar w:fldCharType="begin"/>
            </w:r>
            <w:r w:rsidRPr="00F2216A">
              <w:instrText xml:space="preserve"> DOCPROPERTY  date  \* MERGEFORMAT </w:instrText>
            </w:r>
            <w:r w:rsidRPr="00F2216A">
              <w:fldChar w:fldCharType="separate"/>
            </w:r>
            <w:proofErr w:type="spellStart"/>
            <w:r w:rsidR="00F520C6" w:rsidRPr="00F2216A">
              <w:t>date</w:t>
            </w:r>
            <w:proofErr w:type="spellEnd"/>
            <w:r w:rsidRPr="00F2216A">
              <w:fldChar w:fldCharType="end"/>
            </w:r>
          </w:p>
          <w:p w:rsidR="00207121" w:rsidRPr="00F2216A" w:rsidRDefault="00207121" w:rsidP="00207121">
            <w:r w:rsidRPr="00F2216A">
              <w:fldChar w:fldCharType="begin"/>
            </w:r>
            <w:r w:rsidRPr="00F2216A">
              <w:instrText xml:space="preserve"> DOCPROPERTY  tlang  \* MERGEFORMAT </w:instrText>
            </w:r>
            <w:r w:rsidRPr="00F2216A">
              <w:fldChar w:fldCharType="separate"/>
            </w:r>
            <w:proofErr w:type="spellStart"/>
            <w:r w:rsidR="00F520C6" w:rsidRPr="00F2216A">
              <w:t>tlang</w:t>
            </w:r>
            <w:proofErr w:type="spellEnd"/>
            <w:r w:rsidRPr="00F2216A">
              <w:fldChar w:fldCharType="end"/>
            </w:r>
          </w:p>
          <w:p w:rsidR="00207121" w:rsidRPr="00F2216A" w:rsidRDefault="00207121" w:rsidP="00207121">
            <w:proofErr w:type="spellStart"/>
            <w:r w:rsidRPr="00F2216A">
              <w:t>Original</w:t>
            </w:r>
            <w:proofErr w:type="spellEnd"/>
            <w:r w:rsidRPr="00F2216A">
              <w:t xml:space="preserve">: </w:t>
            </w:r>
            <w:r w:rsidRPr="00F2216A">
              <w:fldChar w:fldCharType="begin"/>
            </w:r>
            <w:r w:rsidRPr="00F2216A">
              <w:instrText xml:space="preserve"> DOCPROPERTY  olang  \* MERGEFORMAT </w:instrText>
            </w:r>
            <w:r w:rsidRPr="00F2216A">
              <w:fldChar w:fldCharType="separate"/>
            </w:r>
            <w:proofErr w:type="spellStart"/>
            <w:r w:rsidR="00F520C6" w:rsidRPr="00F2216A">
              <w:t>olang</w:t>
            </w:r>
            <w:proofErr w:type="spellEnd"/>
            <w:r w:rsidRPr="00F2216A">
              <w:fldChar w:fldCharType="end"/>
            </w:r>
          </w:p>
          <w:p w:rsidR="002D5AAC" w:rsidRPr="00F2216A" w:rsidRDefault="00207121" w:rsidP="00A90C18">
            <w:r w:rsidRPr="00F2216A">
              <w:fldChar w:fldCharType="begin"/>
            </w:r>
            <w:r w:rsidRPr="00F2216A">
              <w:instrText xml:space="preserve"> DOCPROPERTY  virs  \* MERGEFORMAT </w:instrText>
            </w:r>
            <w:r w:rsidRPr="00F2216A">
              <w:fldChar w:fldCharType="separate"/>
            </w:r>
            <w:proofErr w:type="spellStart"/>
            <w:r w:rsidR="00F520C6" w:rsidRPr="00F2216A">
              <w:t>virs</w:t>
            </w:r>
            <w:proofErr w:type="spellEnd"/>
            <w:r w:rsidRPr="00F2216A">
              <w:fldChar w:fldCharType="end"/>
            </w:r>
          </w:p>
        </w:tc>
      </w:tr>
    </w:tbl>
    <w:p w:rsidR="004A19E3" w:rsidRPr="00F2216A" w:rsidRDefault="004A19E3" w:rsidP="004A19E3">
      <w:pPr>
        <w:spacing w:before="120"/>
        <w:rPr>
          <w:b/>
          <w:sz w:val="24"/>
          <w:szCs w:val="24"/>
        </w:rPr>
      </w:pPr>
      <w:r w:rsidRPr="00F2216A">
        <w:rPr>
          <w:b/>
          <w:sz w:val="24"/>
          <w:szCs w:val="24"/>
        </w:rPr>
        <w:t>Комитет по правам ребенка</w:t>
      </w:r>
    </w:p>
    <w:p w:rsidR="00DD2057" w:rsidRPr="00F2216A" w:rsidRDefault="00DD2057" w:rsidP="00DD2057">
      <w:pPr>
        <w:pStyle w:val="HChG"/>
      </w:pPr>
      <w:r w:rsidRPr="00F2216A">
        <w:tab/>
      </w:r>
      <w:r w:rsidRPr="00F2216A">
        <w:tab/>
        <w:t xml:space="preserve">Заключительные замечания по докладу, представленному </w:t>
      </w:r>
      <w:r w:rsidRPr="00F2216A">
        <w:rPr>
          <w:color w:val="FF0000"/>
        </w:rPr>
        <w:t>страной</w:t>
      </w:r>
      <w:r w:rsidRPr="00F2216A">
        <w:t xml:space="preserve"> в соответствии с пунктом 1 статьи 12 Факультативного протокола к Конвенции о правах ребенка, касающегося торговли детьми, детской проституции и детской порнографии</w:t>
      </w:r>
      <w:r w:rsidRPr="00F2216A">
        <w:rPr>
          <w:b w:val="0"/>
          <w:sz w:val="20"/>
        </w:rPr>
        <w:footnoteReference w:customMarkFollows="1" w:id="1"/>
        <w:t>*</w:t>
      </w:r>
    </w:p>
    <w:p w:rsidR="00DD2057" w:rsidRPr="00F2216A" w:rsidRDefault="00DD2057" w:rsidP="00DD2057">
      <w:pPr>
        <w:pStyle w:val="HChG"/>
      </w:pPr>
      <w:r w:rsidRPr="00F2216A">
        <w:tab/>
        <w:t>I.</w:t>
      </w:r>
      <w:r w:rsidRPr="00F2216A">
        <w:tab/>
        <w:t>Введение</w:t>
      </w:r>
    </w:p>
    <w:p w:rsidR="00DD2057" w:rsidRPr="00F2216A" w:rsidRDefault="00DD2057" w:rsidP="00DD2057">
      <w:pPr>
        <w:pStyle w:val="SingleTxtG"/>
      </w:pPr>
      <w:r w:rsidRPr="00F2216A">
        <w:t>1.</w:t>
      </w:r>
      <w:r w:rsidRPr="00F2216A">
        <w:tab/>
        <w:t xml:space="preserve">Комитет рассмотрел доклад </w:t>
      </w:r>
      <w:r w:rsidRPr="00F2216A">
        <w:rPr>
          <w:color w:val="FF0000"/>
        </w:rPr>
        <w:t>страны</w:t>
      </w:r>
      <w:r w:rsidRPr="00F2216A">
        <w:t xml:space="preserve"> (CRC/C/OPSC/</w:t>
      </w:r>
      <w:r w:rsidRPr="00F2216A">
        <w:rPr>
          <w:color w:val="FF0000"/>
        </w:rPr>
        <w:t>XXX</w:t>
      </w:r>
      <w:r w:rsidRPr="00F2216A">
        <w:t>/</w:t>
      </w:r>
      <w:r w:rsidRPr="00F2216A">
        <w:rPr>
          <w:color w:val="FF0000"/>
        </w:rPr>
        <w:t>Y</w:t>
      </w:r>
      <w:r w:rsidRPr="00F2216A">
        <w:t xml:space="preserve">) на своем </w:t>
      </w:r>
      <w:r w:rsidRPr="00F2216A">
        <w:rPr>
          <w:color w:val="FF0000"/>
        </w:rPr>
        <w:t>номер</w:t>
      </w:r>
      <w:r w:rsidRPr="00F2216A">
        <w:t xml:space="preserve"> заседании (см. CRC/C/SR.</w:t>
      </w:r>
      <w:r w:rsidRPr="00F2216A">
        <w:rPr>
          <w:color w:val="FF0000"/>
        </w:rPr>
        <w:t>XXX</w:t>
      </w:r>
      <w:r w:rsidRPr="00F2216A">
        <w:t xml:space="preserve">), состоявшемся </w:t>
      </w:r>
      <w:r w:rsidRPr="00F2216A">
        <w:rPr>
          <w:color w:val="FF0000"/>
        </w:rPr>
        <w:t>дата</w:t>
      </w:r>
      <w:r w:rsidRPr="00F2216A">
        <w:t xml:space="preserve">, и принял настоящие заключительные замечания на своем </w:t>
      </w:r>
      <w:r w:rsidRPr="00F2216A">
        <w:rPr>
          <w:color w:val="FF0000"/>
        </w:rPr>
        <w:t>номер</w:t>
      </w:r>
      <w:r w:rsidRPr="00F2216A">
        <w:t xml:space="preserve"> заседании, состоявшемся </w:t>
      </w:r>
      <w:r w:rsidRPr="00F2216A">
        <w:rPr>
          <w:color w:val="FF0000"/>
        </w:rPr>
        <w:t>дата</w:t>
      </w:r>
      <w:r w:rsidRPr="00F2216A">
        <w:t>.</w:t>
      </w:r>
    </w:p>
    <w:p w:rsidR="00DD2057" w:rsidRPr="00F2216A" w:rsidRDefault="00DD2057" w:rsidP="00DD2057">
      <w:pPr>
        <w:pStyle w:val="SingleTxtG"/>
      </w:pPr>
      <w:r w:rsidRPr="00F2216A">
        <w:t>2.</w:t>
      </w:r>
      <w:r w:rsidRPr="00F2216A">
        <w:tab/>
        <w:t>Комитет приветствует представление доклада государства-участника и письменные ответы на перечень вопросов (CRC/C/OPSC/</w:t>
      </w:r>
      <w:r w:rsidRPr="00F2216A">
        <w:rPr>
          <w:color w:val="FF0000"/>
        </w:rPr>
        <w:t>XXX</w:t>
      </w:r>
      <w:r w:rsidRPr="00F2216A">
        <w:t>/Q/</w:t>
      </w:r>
      <w:r w:rsidRPr="00F2216A">
        <w:rPr>
          <w:color w:val="FF0000"/>
        </w:rPr>
        <w:t>Y</w:t>
      </w:r>
      <w:r w:rsidRPr="00F2216A">
        <w:t xml:space="preserve">/Add.1). Комитет выражает признательность за состоявшийся конструктивный диалог с </w:t>
      </w:r>
      <w:r w:rsidRPr="00F2216A">
        <w:rPr>
          <w:color w:val="FF0000"/>
        </w:rPr>
        <w:t>[</w:t>
      </w:r>
      <w:r w:rsidRPr="00F2216A">
        <w:t>высокопоставленной и</w:t>
      </w:r>
      <w:r w:rsidRPr="00F2216A">
        <w:rPr>
          <w:color w:val="FF0000"/>
        </w:rPr>
        <w:t>]</w:t>
      </w:r>
      <w:r w:rsidRPr="00F2216A">
        <w:t xml:space="preserve"> многопрофильной делегацией государства-участника. </w:t>
      </w:r>
    </w:p>
    <w:p w:rsidR="00DD2057" w:rsidRPr="00F2216A" w:rsidRDefault="00DD2057" w:rsidP="00DD2057">
      <w:pPr>
        <w:pStyle w:val="SingleTxtG"/>
        <w:rPr>
          <w:b/>
        </w:rPr>
      </w:pPr>
      <w:r w:rsidRPr="00F2216A">
        <w:t>3.</w:t>
      </w:r>
      <w:r w:rsidRPr="00F2216A">
        <w:tab/>
        <w:t xml:space="preserve">Комитет напоминает государству-участнику, что настоящие заключительные замечания следует рассматривать совместно с заключительными замечаниями по </w:t>
      </w:r>
      <w:r w:rsidRPr="00F2216A">
        <w:rPr>
          <w:color w:val="FF0000"/>
        </w:rPr>
        <w:t>[первоначальному] [номер периодическому] [объединенным номера периодическим]</w:t>
      </w:r>
      <w:r w:rsidRPr="00F2216A">
        <w:t xml:space="preserve"> докладу/</w:t>
      </w:r>
      <w:r w:rsidRPr="00F2216A">
        <w:rPr>
          <w:color w:val="FF0000"/>
        </w:rPr>
        <w:t>докладам</w:t>
      </w:r>
      <w:r w:rsidRPr="00F2216A">
        <w:t>, представленному/</w:t>
      </w:r>
      <w:r w:rsidRPr="00F2216A">
        <w:rPr>
          <w:color w:val="FF0000"/>
        </w:rPr>
        <w:t>представленным</w:t>
      </w:r>
      <w:r w:rsidRPr="00F2216A">
        <w:t xml:space="preserve"> государством − участником Конвенции (CRC/C/</w:t>
      </w:r>
      <w:r w:rsidRPr="00F2216A">
        <w:rPr>
          <w:color w:val="FF0000"/>
        </w:rPr>
        <w:t>XXX</w:t>
      </w:r>
      <w:r w:rsidRPr="00F2216A">
        <w:t>/CO/</w:t>
      </w:r>
      <w:r w:rsidRPr="00F2216A">
        <w:rPr>
          <w:color w:val="FF0000"/>
        </w:rPr>
        <w:t>Y</w:t>
      </w:r>
      <w:r w:rsidRPr="00F2216A">
        <w:t>), принятыми дата, и по докладу государства-участника, представленному по Факультативному протоколу, касающемуся участия детей в вооруженных конфликтах (CRC/C/OPAC/</w:t>
      </w:r>
      <w:r w:rsidRPr="00F2216A">
        <w:rPr>
          <w:color w:val="FF0000"/>
        </w:rPr>
        <w:t>XXX</w:t>
      </w:r>
      <w:r w:rsidRPr="00F2216A">
        <w:t>/CO/</w:t>
      </w:r>
      <w:r w:rsidRPr="00F2216A">
        <w:rPr>
          <w:color w:val="FF0000"/>
        </w:rPr>
        <w:t>Y</w:t>
      </w:r>
      <w:r w:rsidRPr="00F2216A">
        <w:t xml:space="preserve">), принятыми </w:t>
      </w:r>
      <w:r w:rsidRPr="00F2216A">
        <w:rPr>
          <w:color w:val="FF0000"/>
        </w:rPr>
        <w:t>дата</w:t>
      </w:r>
      <w:r w:rsidRPr="00F2216A">
        <w:t xml:space="preserve">. </w:t>
      </w:r>
      <w:r w:rsidRPr="00F2216A">
        <w:rPr>
          <w:b/>
          <w:highlight w:val="yellow"/>
        </w:rPr>
        <w:t>[[Точная формулировка, зависит от того, ратифицировало ли государство ФПВК.]]</w:t>
      </w:r>
    </w:p>
    <w:p w:rsidR="00DD2057" w:rsidRPr="00F2216A" w:rsidRDefault="00DD2057" w:rsidP="00DD2057">
      <w:pPr>
        <w:pStyle w:val="HChG"/>
      </w:pPr>
      <w:r w:rsidRPr="00F2216A">
        <w:tab/>
        <w:t>II.</w:t>
      </w:r>
      <w:r w:rsidRPr="00F2216A">
        <w:tab/>
        <w:t>Общие замечания</w:t>
      </w:r>
    </w:p>
    <w:p w:rsidR="00DD2057" w:rsidRPr="00F2216A" w:rsidRDefault="00DD2057" w:rsidP="00DD2057">
      <w:pPr>
        <w:pStyle w:val="SingleTxtG"/>
        <w:rPr>
          <w:b/>
        </w:rPr>
      </w:pPr>
      <w:r w:rsidRPr="00F2216A">
        <w:rPr>
          <w:b/>
        </w:rPr>
        <w:t xml:space="preserve">Позитивные аспекты </w:t>
      </w:r>
      <w:r w:rsidRPr="00F2216A">
        <w:rPr>
          <w:b/>
          <w:highlight w:val="yellow"/>
        </w:rPr>
        <w:t>[[Когда имеются два или более подзаголовка, их следует нумеровать буквами (A., B., C. и т.д., как в разделе IX).]]</w:t>
      </w:r>
    </w:p>
    <w:p w:rsidR="00DD2057" w:rsidRPr="00F2216A" w:rsidRDefault="00DD2057" w:rsidP="00DD2057">
      <w:pPr>
        <w:pStyle w:val="HChG"/>
      </w:pPr>
      <w:r w:rsidRPr="00F2216A">
        <w:tab/>
        <w:t>III.</w:t>
      </w:r>
      <w:r w:rsidRPr="00F2216A">
        <w:tab/>
        <w:t>Данные</w:t>
      </w:r>
    </w:p>
    <w:p w:rsidR="00DD2057" w:rsidRPr="00F2216A" w:rsidRDefault="00DD2057" w:rsidP="00DD2057">
      <w:pPr>
        <w:pStyle w:val="SingleTxtG"/>
        <w:rPr>
          <w:b/>
          <w:bCs/>
        </w:rPr>
      </w:pPr>
      <w:r w:rsidRPr="00F2216A">
        <w:rPr>
          <w:b/>
        </w:rPr>
        <w:t>Сбор данных</w:t>
      </w:r>
    </w:p>
    <w:p w:rsidR="00DD2057" w:rsidRPr="00F2216A" w:rsidRDefault="00DD2057" w:rsidP="00DD2057">
      <w:pPr>
        <w:pStyle w:val="HChG"/>
      </w:pPr>
      <w:r w:rsidRPr="00F2216A">
        <w:lastRenderedPageBreak/>
        <w:tab/>
      </w:r>
      <w:r w:rsidR="00F2216A">
        <w:t>IV.</w:t>
      </w:r>
      <w:r w:rsidRPr="00F2216A">
        <w:tab/>
        <w:t>Общие меры по осуществлению</w:t>
      </w:r>
    </w:p>
    <w:p w:rsidR="00DD2057" w:rsidRPr="00F2216A" w:rsidRDefault="00DD2057" w:rsidP="00DD2057">
      <w:pPr>
        <w:pStyle w:val="HChG"/>
      </w:pPr>
      <w:r w:rsidRPr="00F2216A">
        <w:tab/>
        <w:t>V.</w:t>
      </w:r>
      <w:r w:rsidRPr="00F2216A">
        <w:tab/>
        <w:t>Предупреждение торговли детьми, детской проституции и детской порнографии (пункты 1 и 2 статьи 9)</w:t>
      </w:r>
    </w:p>
    <w:p w:rsidR="00DD2057" w:rsidRPr="00F2216A" w:rsidRDefault="00DD2057" w:rsidP="00DD2057">
      <w:pPr>
        <w:pStyle w:val="HChG"/>
      </w:pPr>
      <w:r w:rsidRPr="00F2216A">
        <w:tab/>
        <w:t>VI.</w:t>
      </w:r>
      <w:r w:rsidRPr="00F2216A">
        <w:tab/>
        <w:t>Запрещение торговли детьми, детской порнографии и детской проституции и связанные с этим вопросы (статья 3, пункты 2 и 3 статьи 4 и статьи 5−7)</w:t>
      </w:r>
    </w:p>
    <w:p w:rsidR="00DD2057" w:rsidRPr="00F2216A" w:rsidRDefault="00DD2057" w:rsidP="00DD2057">
      <w:pPr>
        <w:pStyle w:val="HChG"/>
      </w:pPr>
      <w:r w:rsidRPr="00F2216A">
        <w:tab/>
        <w:t>VII.</w:t>
      </w:r>
      <w:r w:rsidRPr="00F2216A">
        <w:tab/>
        <w:t xml:space="preserve">Защита прав детей-жертв </w:t>
      </w:r>
      <w:r w:rsidR="00F2216A">
        <w:t>(статья 8 и пункты 3 и 4 статьи </w:t>
      </w:r>
      <w:r w:rsidRPr="00F2216A">
        <w:t>9)</w:t>
      </w:r>
    </w:p>
    <w:p w:rsidR="00DD2057" w:rsidRPr="00F2216A" w:rsidRDefault="00DD2057" w:rsidP="00DD2057">
      <w:pPr>
        <w:pStyle w:val="HChG"/>
      </w:pPr>
      <w:r w:rsidRPr="00F2216A">
        <w:tab/>
        <w:t>VIII.</w:t>
      </w:r>
      <w:r w:rsidRPr="00F2216A">
        <w:tab/>
        <w:t>Международная помощь и сотрудничество (статья 10)</w:t>
      </w:r>
    </w:p>
    <w:p w:rsidR="00DD2057" w:rsidRPr="00F2216A" w:rsidRDefault="00DD2057" w:rsidP="00DD2057">
      <w:pPr>
        <w:pStyle w:val="SingleTxtG"/>
        <w:rPr>
          <w:b/>
        </w:rPr>
      </w:pPr>
      <w:r w:rsidRPr="00F2216A">
        <w:t>4.</w:t>
      </w:r>
      <w:r w:rsidRPr="00F2216A">
        <w:tab/>
      </w:r>
      <w:r w:rsidRPr="00F2216A">
        <w:rPr>
          <w:b/>
        </w:rPr>
        <w:t>В свете пункта 1 статьи 10 Факультативного протокола Комитет призывает государство-участник продолжать укреплять международное сотрудничество на основе многосторонних, региональных и двусторонних договоренностей, особенно с соседними странами, в том числе путем совершенствования процедур и механизмов координации работы по осуществлению таких договоренностей, с целью повышения эффективности деятельности по предупреждению охватываемых Факультативным протоколом преступлений, а также обнаружения, расследования, уголовного преследования и наказания лиц, виновных в совершении любого из таких деяний.</w:t>
      </w:r>
    </w:p>
    <w:p w:rsidR="00DD2057" w:rsidRPr="00F2216A" w:rsidRDefault="00DD2057" w:rsidP="00DD2057">
      <w:pPr>
        <w:pStyle w:val="HChG"/>
      </w:pPr>
      <w:r w:rsidRPr="00F2216A">
        <w:tab/>
        <w:t>IX.</w:t>
      </w:r>
      <w:r w:rsidRPr="00F2216A">
        <w:tab/>
        <w:t>Меры по осуществлению и представление докладов</w:t>
      </w:r>
    </w:p>
    <w:p w:rsidR="00DD2057" w:rsidRPr="00F2216A" w:rsidRDefault="00DD2057" w:rsidP="00DD2057">
      <w:pPr>
        <w:pStyle w:val="H1G"/>
      </w:pPr>
      <w:r w:rsidRPr="00F2216A">
        <w:tab/>
        <w:t>A.</w:t>
      </w:r>
      <w:r w:rsidRPr="00F2216A">
        <w:tab/>
        <w:t>Последующие меры и распространение информации</w:t>
      </w:r>
    </w:p>
    <w:p w:rsidR="00DD2057" w:rsidRPr="00F2216A" w:rsidRDefault="00DD2057" w:rsidP="00DD2057">
      <w:pPr>
        <w:pStyle w:val="SingleTxtG"/>
        <w:rPr>
          <w:b/>
          <w:bCs/>
        </w:rPr>
      </w:pPr>
      <w:r w:rsidRPr="00F2216A">
        <w:t>5.</w:t>
      </w:r>
      <w:r w:rsidRPr="00F2216A">
        <w:tab/>
      </w:r>
      <w:r w:rsidRPr="00F2216A">
        <w:rPr>
          <w:b/>
        </w:rPr>
        <w:t xml:space="preserve">Комитет рекомендует государству-участнику принять все надлежащие меры для обеспечения полного выполнения содержащихся в настоящих заключительных замечаниях рекомендаций, в частности путем их препровождения </w:t>
      </w:r>
      <w:r w:rsidRPr="00F2216A">
        <w:rPr>
          <w:b/>
          <w:color w:val="FF0000"/>
        </w:rPr>
        <w:t>[субъектам]</w:t>
      </w:r>
      <w:r w:rsidRPr="00F2216A">
        <w:rPr>
          <w:b/>
        </w:rPr>
        <w:t xml:space="preserve"> для надлежащего рассмотрения и принятия дальнейших мер.</w:t>
      </w:r>
    </w:p>
    <w:p w:rsidR="00DD2057" w:rsidRPr="00F2216A" w:rsidRDefault="00DD2057" w:rsidP="00DD2057">
      <w:pPr>
        <w:pStyle w:val="SingleTxtG"/>
        <w:rPr>
          <w:b/>
          <w:bCs/>
        </w:rPr>
      </w:pPr>
      <w:r w:rsidRPr="00F2216A">
        <w:t>6.</w:t>
      </w:r>
      <w:r w:rsidRPr="00F2216A">
        <w:tab/>
      </w:r>
      <w:r w:rsidRPr="00F2216A">
        <w:rPr>
          <w:b/>
        </w:rPr>
        <w:t xml:space="preserve">Комитет рекомендует обеспечить широкое распространение доклада и письменных ответов, представленных государством-участником, а также настоящих заключительных замечаний, в том числе в Интернете, среди </w:t>
      </w:r>
      <w:r w:rsidRPr="00F2216A">
        <w:rPr>
          <w:b/>
          <w:highlight w:val="yellow"/>
        </w:rPr>
        <w:t>[[точный перечень может варьироваться]]</w:t>
      </w:r>
      <w:r w:rsidRPr="00F2216A">
        <w:rPr>
          <w:b/>
        </w:rPr>
        <w:t xml:space="preserve"> широкой общественности, организаций гражданского общества, молодежных групп, профессиональных групп и детей в целях стимулирования дискуссии и повышения уровня осведомленности о Факультативном протоколе, его осуществлении и мониторинге.</w:t>
      </w:r>
    </w:p>
    <w:p w:rsidR="00DD2057" w:rsidRPr="00F2216A" w:rsidRDefault="00DD2057" w:rsidP="00DD2057">
      <w:pPr>
        <w:pStyle w:val="H1G"/>
      </w:pPr>
      <w:r w:rsidRPr="00F2216A">
        <w:tab/>
        <w:t>B.</w:t>
      </w:r>
      <w:r w:rsidRPr="00F2216A">
        <w:tab/>
        <w:t>Следующий периодический доклад</w:t>
      </w:r>
    </w:p>
    <w:p w:rsidR="00DD2057" w:rsidRPr="00F2216A" w:rsidRDefault="00DD2057" w:rsidP="00DD2057">
      <w:pPr>
        <w:pStyle w:val="SingleTxtG"/>
        <w:rPr>
          <w:b/>
          <w:bCs/>
        </w:rPr>
      </w:pPr>
      <w:r w:rsidRPr="00F2216A">
        <w:t>7.</w:t>
      </w:r>
      <w:r w:rsidRPr="00F2216A">
        <w:tab/>
      </w:r>
      <w:r w:rsidRPr="00F2216A">
        <w:rPr>
          <w:b/>
        </w:rPr>
        <w:t>В соответствии с пунктом 2 статьи 12 Факультативного протокола Комитет просит государство-участник включить дополнительную информацию об осуществлении Факультативного протокола и настоящих заключительных замечаний в его следующий периодический доклад, подлежащий представлению в соответствии со статьей 44 Конвенции.</w:t>
      </w:r>
    </w:p>
    <w:p w:rsidR="00DD2057" w:rsidRPr="00F2216A" w:rsidRDefault="00DD2057" w:rsidP="00F2216A">
      <w:pPr>
        <w:pStyle w:val="SingleTxtG"/>
        <w:spacing w:after="0"/>
        <w:ind w:left="1138" w:right="1138"/>
        <w:jc w:val="center"/>
      </w:pPr>
      <w:r w:rsidRPr="00F2216A">
        <w:rPr>
          <w:u w:val="single"/>
        </w:rPr>
        <w:tab/>
      </w:r>
      <w:r w:rsidRPr="00F2216A">
        <w:rPr>
          <w:u w:val="single"/>
        </w:rPr>
        <w:tab/>
      </w:r>
      <w:r w:rsidRPr="00F2216A">
        <w:rPr>
          <w:u w:val="single"/>
        </w:rPr>
        <w:tab/>
      </w:r>
      <w:bookmarkStart w:id="0" w:name="_GoBack"/>
      <w:bookmarkEnd w:id="0"/>
    </w:p>
    <w:sectPr w:rsidR="00DD2057" w:rsidRPr="00F2216A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1193F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DD2057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D2057" w:rsidRPr="0079052C" w:rsidRDefault="00DD2057" w:rsidP="00DD2057">
      <w:pPr>
        <w:pStyle w:val="Notedebasdepage"/>
        <w:rPr>
          <w:lang w:val="ru-RU"/>
        </w:rPr>
      </w:pPr>
      <w:r>
        <w:rPr>
          <w:lang w:val="ru-RU"/>
        </w:rPr>
        <w:tab/>
      </w:r>
      <w:r w:rsidRPr="007A74C3">
        <w:rPr>
          <w:sz w:val="20"/>
          <w:lang w:val="ru-RU"/>
        </w:rPr>
        <w:t>*</w:t>
      </w:r>
      <w:r>
        <w:rPr>
          <w:lang w:val="ru-RU"/>
        </w:rPr>
        <w:tab/>
        <w:t xml:space="preserve">Приняты Комитетом на его </w:t>
      </w:r>
      <w:r w:rsidR="00D1193F" w:rsidRPr="00D1193F">
        <w:rPr>
          <w:color w:val="FF0000"/>
          <w:lang w:val="fr-CH"/>
        </w:rPr>
        <w:t>[</w:t>
      </w:r>
      <w:r w:rsidRPr="00AF6ABE">
        <w:rPr>
          <w:color w:val="FF0000"/>
          <w:lang w:val="ru-RU"/>
        </w:rPr>
        <w:t>номер</w:t>
      </w:r>
      <w:r w:rsidR="00D1193F">
        <w:rPr>
          <w:color w:val="FF0000"/>
          <w:lang w:val="fr-CH"/>
        </w:rPr>
        <w:t>]</w:t>
      </w:r>
      <w:r w:rsidRPr="00AF6ABE">
        <w:rPr>
          <w:color w:val="FF0000"/>
          <w:lang w:val="ru-RU"/>
        </w:rPr>
        <w:t xml:space="preserve"> </w:t>
      </w:r>
      <w:r>
        <w:rPr>
          <w:lang w:val="ru-RU"/>
        </w:rPr>
        <w:t>сессии (</w:t>
      </w:r>
      <w:r w:rsidRPr="00AF6ABE">
        <w:rPr>
          <w:color w:val="FF0000"/>
          <w:lang w:val="ru-RU"/>
        </w:rPr>
        <w:t>даты</w:t>
      </w:r>
      <w:r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A74C3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C3D58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1193F"/>
    <w:rsid w:val="00D2067E"/>
    <w:rsid w:val="00D33D63"/>
    <w:rsid w:val="00D44142"/>
    <w:rsid w:val="00D90028"/>
    <w:rsid w:val="00D90138"/>
    <w:rsid w:val="00DA4DD8"/>
    <w:rsid w:val="00DC2F0B"/>
    <w:rsid w:val="00DD2057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EF7E81"/>
    <w:rsid w:val="00F21B00"/>
    <w:rsid w:val="00F2216A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3CD68620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A74C3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7A74C3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7A74C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7A74C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7A74C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7A74C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7A74C3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7A74C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7A74C3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7A74C3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7A74C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7A74C3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7A74C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7A74C3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7A74C3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7A74C3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7A74C3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7A74C3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7A74C3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7A74C3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7A74C3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7A74C3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7A74C3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7A74C3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7A74C3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7A74C3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7A74C3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7A74C3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7A74C3"/>
  </w:style>
  <w:style w:type="character" w:customStyle="1" w:styleId="NotedefinCar">
    <w:name w:val="Note de fin Car"/>
    <w:aliases w:val="2_G Car"/>
    <w:basedOn w:val="Policepardfaut"/>
    <w:link w:val="Notedefin"/>
    <w:rsid w:val="007A74C3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7A74C3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7A74C3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7A74C3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B55FE-F97A-4817-BEB7-77E7AFFCA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3654</Characters>
  <Application>Microsoft Office Word</Application>
  <DocSecurity>0</DocSecurity>
  <Lines>30</Lines>
  <Paragraphs>8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2018-05-18T14:52:00Z</dcterms:created>
  <dcterms:modified xsi:type="dcterms:W3CDTF">2018-06-20T09:55:00Z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