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62072" w:rsidP="001467EC">
            <w:pPr>
              <w:bidi w:val="0"/>
              <w:spacing w:after="20"/>
              <w:jc w:val="left"/>
              <w:rPr>
                <w:szCs w:val="20"/>
                <w:lang w:val="fr-FR"/>
              </w:rPr>
            </w:pPr>
            <w:r>
              <w:rPr>
                <w:sz w:val="40"/>
                <w:szCs w:val="20"/>
              </w:rPr>
              <w:t>C</w:t>
            </w:r>
            <w:r w:rsidR="001467EC">
              <w:rPr>
                <w:sz w:val="40"/>
                <w:szCs w:val="20"/>
              </w:rPr>
              <w:t>RC</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215BDC"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BF3BEF" w:rsidRPr="0045649E" w:rsidRDefault="001467EC" w:rsidP="00BF3BEF">
            <w:pPr>
              <w:spacing w:before="120" w:after="40" w:line="640" w:lineRule="exact"/>
              <w:jc w:val="left"/>
              <w:rPr>
                <w:b/>
                <w:bCs/>
                <w:sz w:val="50"/>
                <w:szCs w:val="50"/>
                <w:rtl/>
              </w:rPr>
            </w:pPr>
            <w:r w:rsidRPr="00A65558">
              <w:rPr>
                <w:rFonts w:hint="cs"/>
                <w:b/>
                <w:bCs/>
                <w:sz w:val="60"/>
                <w:szCs w:val="60"/>
                <w:rtl/>
              </w:rPr>
              <w:t>اتفاقيـة حقوق الطفل</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215BDC" w:rsidRPr="000959CB" w:rsidRDefault="00215BDC" w:rsidP="00215BDC">
      <w:pPr>
        <w:pStyle w:val="SingleTxtGA"/>
        <w:spacing w:before="120" w:after="0"/>
        <w:ind w:left="0" w:right="4252"/>
        <w:jc w:val="left"/>
        <w:rPr>
          <w:b/>
          <w:bCs/>
          <w:sz w:val="26"/>
          <w:szCs w:val="36"/>
          <w:rtl/>
          <w:lang w:eastAsia="zh-TW"/>
        </w:rPr>
      </w:pPr>
      <w:r w:rsidRPr="000959CB">
        <w:rPr>
          <w:b/>
          <w:bCs/>
          <w:sz w:val="26"/>
          <w:szCs w:val="36"/>
          <w:rtl/>
          <w:cs/>
          <w:lang w:eastAsia="zh-TW"/>
        </w:rPr>
        <w:t>لجنة حقوق الطفل</w:t>
      </w:r>
    </w:p>
    <w:p w:rsidR="00215BDC" w:rsidRPr="000959CB" w:rsidRDefault="00215BDC" w:rsidP="00215BDC">
      <w:pPr>
        <w:pStyle w:val="HChGA"/>
        <w:rPr>
          <w:rStyle w:val="Appelnotedebasdep"/>
          <w:b/>
          <w:sz w:val="20"/>
          <w:vertAlign w:val="baseline"/>
          <w:rtl/>
          <w:lang w:eastAsia="zh-TW"/>
        </w:rPr>
      </w:pPr>
      <w:r>
        <w:rPr>
          <w:lang w:eastAsia="zh-TW"/>
        </w:rPr>
        <w:tab/>
      </w:r>
      <w:r>
        <w:rPr>
          <w:lang w:eastAsia="zh-TW"/>
        </w:rPr>
        <w:tab/>
      </w:r>
      <w:r w:rsidRPr="00ED3BEB">
        <w:rPr>
          <w:rtl/>
          <w:lang w:eastAsia="zh-TW"/>
        </w:rPr>
        <w:t xml:space="preserve">الملاحظات الختامية بشأن التقرير </w:t>
      </w:r>
      <w:r w:rsidRPr="00ED3BEB">
        <w:rPr>
          <w:color w:val="FF0000"/>
          <w:rtl/>
          <w:lang w:eastAsia="zh-TW"/>
        </w:rPr>
        <w:t>[الأولي] [الجامع للتقارير الدورية [الرقم]] [الدوري [الرقم]]</w:t>
      </w:r>
      <w:r w:rsidRPr="00ED3BEB">
        <w:rPr>
          <w:rtl/>
          <w:lang w:eastAsia="zh-TW"/>
        </w:rPr>
        <w:t xml:space="preserve"> لـ </w:t>
      </w:r>
      <w:r w:rsidRPr="00ED3BEB">
        <w:rPr>
          <w:color w:val="FF0000"/>
          <w:rtl/>
          <w:lang w:eastAsia="zh-TW"/>
        </w:rPr>
        <w:t>[البلد]</w:t>
      </w:r>
      <w:r w:rsidRPr="000959CB">
        <w:rPr>
          <w:rStyle w:val="Appelnotedebasdep"/>
          <w:sz w:val="20"/>
          <w:vertAlign w:val="baseline"/>
          <w:rtl/>
          <w:lang w:eastAsia="zh-TW"/>
        </w:rPr>
        <w:footnoteReference w:customMarkFollows="1" w:id="1"/>
        <w:t>*</w:t>
      </w:r>
    </w:p>
    <w:p w:rsidR="00215BDC" w:rsidRPr="00ED3BEB" w:rsidRDefault="00215BDC" w:rsidP="00215BDC">
      <w:pPr>
        <w:pStyle w:val="HChGA"/>
        <w:rPr>
          <w:rFonts w:eastAsia="Malgun Gothic"/>
          <w:rtl/>
          <w:lang w:eastAsia="zh-TW"/>
        </w:rPr>
      </w:pPr>
      <w:r>
        <w:rPr>
          <w:rFonts w:hint="cs"/>
          <w:rtl/>
          <w:lang w:eastAsia="zh-TW"/>
        </w:rPr>
        <w:tab/>
      </w:r>
      <w:r w:rsidRPr="00ED3BEB">
        <w:rPr>
          <w:rtl/>
          <w:lang w:eastAsia="zh-TW"/>
        </w:rPr>
        <w:t>أولا</w:t>
      </w:r>
      <w:r>
        <w:rPr>
          <w:rFonts w:hint="cs"/>
          <w:rtl/>
          <w:lang w:eastAsia="zh-TW"/>
        </w:rPr>
        <w:t>ً</w:t>
      </w:r>
      <w:r w:rsidRPr="00ED3BEB">
        <w:rPr>
          <w:rtl/>
          <w:lang w:eastAsia="zh-TW"/>
        </w:rPr>
        <w:t>-</w:t>
      </w:r>
      <w:r>
        <w:rPr>
          <w:rFonts w:hint="cs"/>
          <w:rtl/>
          <w:lang w:eastAsia="zh-TW"/>
        </w:rPr>
        <w:tab/>
      </w:r>
      <w:r w:rsidRPr="00ED3BEB">
        <w:rPr>
          <w:rtl/>
          <w:lang w:eastAsia="zh-TW"/>
        </w:rPr>
        <w:t>مقدمة</w:t>
      </w:r>
      <w:bookmarkStart w:id="0" w:name="_GoBack"/>
      <w:bookmarkEnd w:id="0"/>
    </w:p>
    <w:p w:rsidR="00215BDC" w:rsidRPr="00BA26DA" w:rsidRDefault="00215BDC" w:rsidP="00215BDC">
      <w:pPr>
        <w:pStyle w:val="SingleTxtGA"/>
        <w:rPr>
          <w:rtl/>
          <w:lang w:eastAsia="zh-TW"/>
        </w:rPr>
      </w:pPr>
      <w:r w:rsidRPr="00BA26DA">
        <w:rPr>
          <w:b/>
          <w:rtl/>
          <w:lang w:eastAsia="zh-TW"/>
        </w:rPr>
        <w:t>1-</w:t>
      </w:r>
      <w:r w:rsidRPr="00BA26DA">
        <w:rPr>
          <w:b/>
          <w:rtl/>
          <w:lang w:eastAsia="zh-TW"/>
        </w:rPr>
        <w:tab/>
      </w:r>
      <w:r>
        <w:rPr>
          <w:rtl/>
          <w:lang w:eastAsia="zh-TW"/>
        </w:rPr>
        <w:t xml:space="preserve">نظرت اللجنة في التقرير </w:t>
      </w:r>
      <w:r w:rsidRPr="00ED3BEB">
        <w:rPr>
          <w:color w:val="FF0000"/>
          <w:rtl/>
          <w:lang w:eastAsia="zh-TW"/>
        </w:rPr>
        <w:t>[الأولي] [الجامع للتقارير الدورية [الرقم]] [الدوري [الرقم]]</w:t>
      </w:r>
      <w:r>
        <w:rPr>
          <w:rtl/>
          <w:lang w:eastAsia="zh-TW"/>
        </w:rPr>
        <w:t xml:space="preserve"> </w:t>
      </w:r>
      <w:r>
        <w:rPr>
          <w:rFonts w:hint="cs"/>
          <w:rtl/>
          <w:lang w:eastAsia="zh-TW"/>
        </w:rPr>
        <w:t>ل‍‍</w:t>
      </w:r>
      <w:r>
        <w:rPr>
          <w:rFonts w:hint="eastAsia"/>
          <w:color w:val="FF0000"/>
          <w:rtl/>
          <w:lang w:eastAsia="zh-TW"/>
        </w:rPr>
        <w:t> </w:t>
      </w:r>
      <w:r w:rsidRPr="00ED3BEB">
        <w:rPr>
          <w:color w:val="FF0000"/>
          <w:rtl/>
          <w:lang w:eastAsia="zh-TW"/>
        </w:rPr>
        <w:t>[البلد]</w:t>
      </w:r>
      <w:r>
        <w:rPr>
          <w:rtl/>
          <w:lang w:eastAsia="zh-TW"/>
        </w:rPr>
        <w:t xml:space="preserve"> </w:t>
      </w:r>
      <w:r w:rsidRPr="00BA26DA">
        <w:t>(CRC/C/</w:t>
      </w:r>
      <w:r w:rsidRPr="007A5CC7">
        <w:rPr>
          <w:color w:val="FF0000"/>
        </w:rPr>
        <w:t>XXX</w:t>
      </w:r>
      <w:r w:rsidRPr="00BA26DA">
        <w:t>/</w:t>
      </w:r>
      <w:r w:rsidRPr="007A5CC7">
        <w:rPr>
          <w:color w:val="FF0000"/>
        </w:rPr>
        <w:t>Y</w:t>
      </w:r>
      <w:r w:rsidRPr="00BA26DA">
        <w:t>)</w:t>
      </w:r>
      <w:r>
        <w:rPr>
          <w:rtl/>
          <w:lang w:eastAsia="zh-TW"/>
        </w:rPr>
        <w:t xml:space="preserve"> في جلستيها </w:t>
      </w:r>
      <w:r w:rsidRPr="00ED3BEB">
        <w:rPr>
          <w:color w:val="FF0000"/>
          <w:rtl/>
          <w:lang w:eastAsia="zh-TW"/>
        </w:rPr>
        <w:t>ال</w:t>
      </w:r>
      <w:r>
        <w:rPr>
          <w:color w:val="FF0000"/>
          <w:rtl/>
          <w:lang w:eastAsia="zh-TW"/>
        </w:rPr>
        <w:t>رقم </w:t>
      </w:r>
      <w:r>
        <w:rPr>
          <w:rtl/>
          <w:lang w:eastAsia="zh-TW"/>
        </w:rPr>
        <w:t>و</w:t>
      </w:r>
      <w:r w:rsidRPr="00ED3BEB">
        <w:rPr>
          <w:color w:val="FF0000"/>
          <w:rtl/>
          <w:lang w:eastAsia="zh-TW"/>
        </w:rPr>
        <w:t>ال</w:t>
      </w:r>
      <w:r>
        <w:rPr>
          <w:color w:val="FF0000"/>
          <w:rtl/>
          <w:lang w:eastAsia="zh-TW"/>
        </w:rPr>
        <w:t>رقم </w:t>
      </w:r>
      <w:r>
        <w:rPr>
          <w:rtl/>
          <w:lang w:eastAsia="zh-TW"/>
        </w:rPr>
        <w:t xml:space="preserve">(انظر </w:t>
      </w:r>
      <w:r w:rsidRPr="00BA26DA">
        <w:t>CRC/C/SR.</w:t>
      </w:r>
      <w:r w:rsidRPr="007A5CC7">
        <w:rPr>
          <w:color w:val="FF0000"/>
        </w:rPr>
        <w:t>XXX</w:t>
      </w:r>
      <w:r>
        <w:rPr>
          <w:rtl/>
          <w:lang w:eastAsia="zh-TW"/>
        </w:rPr>
        <w:t xml:space="preserve"> و</w:t>
      </w:r>
      <w:r w:rsidRPr="00AC6119">
        <w:t>SR.</w:t>
      </w:r>
      <w:r w:rsidRPr="007A5CC7">
        <w:rPr>
          <w:color w:val="FF0000"/>
        </w:rPr>
        <w:t>XXX</w:t>
      </w:r>
      <w:r>
        <w:rPr>
          <w:rtl/>
          <w:lang w:eastAsia="zh-TW"/>
        </w:rPr>
        <w:t xml:space="preserve">)، المعقودتين في </w:t>
      </w:r>
      <w:r w:rsidRPr="00ED3BEB">
        <w:rPr>
          <w:color w:val="FF0000"/>
          <w:rtl/>
          <w:lang w:eastAsia="zh-TW"/>
        </w:rPr>
        <w:t xml:space="preserve">التاريخ </w:t>
      </w:r>
      <w:r>
        <w:rPr>
          <w:rtl/>
          <w:lang w:eastAsia="zh-TW"/>
        </w:rPr>
        <w:t>و</w:t>
      </w:r>
      <w:r w:rsidRPr="00ED3BEB">
        <w:rPr>
          <w:color w:val="FF0000"/>
          <w:rtl/>
          <w:lang w:eastAsia="zh-TW"/>
        </w:rPr>
        <w:t>التاريخ</w:t>
      </w:r>
      <w:r>
        <w:rPr>
          <w:rtl/>
          <w:lang w:eastAsia="zh-TW"/>
        </w:rPr>
        <w:t xml:space="preserve">، واعتمدت في جلستها </w:t>
      </w:r>
      <w:r w:rsidRPr="00ED3BEB">
        <w:rPr>
          <w:color w:val="FF0000"/>
          <w:rtl/>
          <w:lang w:eastAsia="zh-TW"/>
        </w:rPr>
        <w:t>الرقم</w:t>
      </w:r>
      <w:r>
        <w:rPr>
          <w:rtl/>
          <w:lang w:eastAsia="zh-TW"/>
        </w:rPr>
        <w:t xml:space="preserve">، المعقودة في </w:t>
      </w:r>
      <w:r w:rsidRPr="00ED3BEB">
        <w:rPr>
          <w:color w:val="FF0000"/>
          <w:rtl/>
          <w:lang w:eastAsia="zh-TW"/>
        </w:rPr>
        <w:t>التاريخ</w:t>
      </w:r>
      <w:r>
        <w:rPr>
          <w:rtl/>
          <w:lang w:eastAsia="zh-TW"/>
        </w:rPr>
        <w:t xml:space="preserve">، هذه الملاحظات الختامية. </w:t>
      </w:r>
    </w:p>
    <w:p w:rsidR="00215BDC" w:rsidRPr="00BA26DA" w:rsidRDefault="00215BDC" w:rsidP="00215BDC">
      <w:pPr>
        <w:pStyle w:val="SingleTxtGA"/>
        <w:rPr>
          <w:rtl/>
          <w:lang w:eastAsia="zh-TW"/>
        </w:rPr>
      </w:pPr>
      <w:r w:rsidRPr="00BA26DA">
        <w:rPr>
          <w:b/>
          <w:rtl/>
          <w:lang w:eastAsia="zh-TW"/>
        </w:rPr>
        <w:t>2-</w:t>
      </w:r>
      <w:r w:rsidRPr="00BA26DA">
        <w:rPr>
          <w:b/>
          <w:rtl/>
          <w:lang w:eastAsia="zh-TW"/>
        </w:rPr>
        <w:tab/>
      </w:r>
      <w:r>
        <w:rPr>
          <w:rtl/>
          <w:lang w:eastAsia="zh-TW"/>
        </w:rPr>
        <w:t xml:space="preserve">ترحب اللجنة بتقديم التقرير </w:t>
      </w:r>
      <w:r w:rsidRPr="00ED3BEB">
        <w:rPr>
          <w:color w:val="FF0000"/>
          <w:rtl/>
          <w:lang w:eastAsia="zh-TW"/>
        </w:rPr>
        <w:t>[الأولي] [الجامع للتقارير الدورية [الرقم]] [الدوري [الرقم]]</w:t>
      </w:r>
      <w:r>
        <w:rPr>
          <w:rtl/>
          <w:lang w:eastAsia="zh-TW"/>
        </w:rPr>
        <w:t xml:space="preserve"> للدولة الطرف وبالردود الكتابية على قائمة المسائل </w:t>
      </w:r>
      <w:r w:rsidRPr="00BA26DA">
        <w:t>(CRC/C/</w:t>
      </w:r>
      <w:r w:rsidRPr="00BF7EFA">
        <w:rPr>
          <w:color w:val="FF0000"/>
        </w:rPr>
        <w:t>XXX</w:t>
      </w:r>
      <w:r w:rsidRPr="00BA26DA">
        <w:t>/Q/</w:t>
      </w:r>
      <w:r w:rsidRPr="00BF7EFA">
        <w:rPr>
          <w:color w:val="FF0000"/>
        </w:rPr>
        <w:t>Y</w:t>
      </w:r>
      <w:r w:rsidRPr="00BA26DA">
        <w:t>/Add.1)</w:t>
      </w:r>
      <w:r>
        <w:rPr>
          <w:rtl/>
          <w:lang w:eastAsia="zh-TW"/>
        </w:rPr>
        <w:t xml:space="preserve">، وهو ما أتاح فهماً أفضل لحالة حقوق الطفل في الدولة الطرف. وتعرب اللجنة عن تقديرها للحوار البناء الذي دار مع وفد الدولة الطرف </w:t>
      </w:r>
      <w:r w:rsidRPr="00ED3BEB">
        <w:rPr>
          <w:color w:val="FF0000"/>
          <w:rtl/>
          <w:lang w:eastAsia="zh-TW"/>
        </w:rPr>
        <w:t>[المتعدد القطاعات] [الرفيع المستوى]</w:t>
      </w:r>
      <w:r>
        <w:rPr>
          <w:rtl/>
          <w:lang w:eastAsia="zh-TW"/>
        </w:rPr>
        <w:t xml:space="preserve">. </w:t>
      </w:r>
    </w:p>
    <w:p w:rsidR="00215BDC" w:rsidRPr="005D1DD5" w:rsidRDefault="00215BDC" w:rsidP="00215BDC">
      <w:pPr>
        <w:pStyle w:val="HChGA"/>
        <w:rPr>
          <w:rFonts w:eastAsia="Malgun Gothic"/>
          <w:rtl/>
          <w:lang w:eastAsia="zh-TW"/>
        </w:rPr>
      </w:pPr>
      <w:r>
        <w:rPr>
          <w:rFonts w:hint="cs"/>
          <w:rtl/>
          <w:lang w:eastAsia="zh-TW"/>
        </w:rPr>
        <w:tab/>
      </w:r>
      <w:r w:rsidRPr="005D1DD5">
        <w:rPr>
          <w:rtl/>
          <w:lang w:eastAsia="zh-TW"/>
        </w:rPr>
        <w:t>ثانيا</w:t>
      </w:r>
      <w:r>
        <w:rPr>
          <w:rFonts w:hint="cs"/>
          <w:rtl/>
          <w:lang w:eastAsia="zh-TW"/>
        </w:rPr>
        <w:t>ً</w:t>
      </w:r>
      <w:r w:rsidRPr="005D1DD5">
        <w:rPr>
          <w:rtl/>
          <w:lang w:eastAsia="zh-TW"/>
        </w:rPr>
        <w:t>-</w:t>
      </w:r>
      <w:r>
        <w:rPr>
          <w:rFonts w:hint="cs"/>
          <w:rtl/>
          <w:lang w:eastAsia="zh-TW"/>
        </w:rPr>
        <w:tab/>
      </w:r>
      <w:r w:rsidRPr="005D1DD5">
        <w:rPr>
          <w:rtl/>
          <w:lang w:eastAsia="zh-TW"/>
        </w:rPr>
        <w:t>تدابير المتابعة التي اتخذتها الدولة الطرف والتقدم الذي أحرزته</w:t>
      </w:r>
    </w:p>
    <w:p w:rsidR="00215BDC" w:rsidRDefault="00215BDC" w:rsidP="00215BDC">
      <w:pPr>
        <w:pStyle w:val="SingleTxtGA"/>
        <w:rPr>
          <w:rtl/>
          <w:lang w:eastAsia="zh-TW"/>
        </w:rPr>
      </w:pPr>
      <w:r>
        <w:rPr>
          <w:b/>
          <w:rtl/>
          <w:lang w:eastAsia="zh-TW"/>
        </w:rPr>
        <w:t>3-</w:t>
      </w:r>
      <w:r>
        <w:rPr>
          <w:b/>
          <w:rtl/>
          <w:lang w:eastAsia="zh-TW"/>
        </w:rPr>
        <w:tab/>
      </w:r>
      <w:r>
        <w:rPr>
          <w:rtl/>
          <w:lang w:eastAsia="zh-TW"/>
        </w:rPr>
        <w:t>ترحب اللجنة بالتصديق على الصكوك التالية أو الانضمام إليها:</w:t>
      </w:r>
    </w:p>
    <w:p w:rsidR="00215BDC" w:rsidRDefault="00215BDC" w:rsidP="00215BDC">
      <w:pPr>
        <w:pStyle w:val="SingleTxtGA"/>
        <w:rPr>
          <w:rtl/>
          <w:lang w:eastAsia="zh-TW"/>
        </w:rPr>
      </w:pPr>
      <w:r>
        <w:rPr>
          <w:rFonts w:hint="cs"/>
          <w:rtl/>
          <w:lang w:eastAsia="zh-TW"/>
        </w:rPr>
        <w:tab/>
      </w:r>
      <w:r>
        <w:rPr>
          <w:rtl/>
          <w:lang w:eastAsia="zh-TW"/>
        </w:rPr>
        <w:t>(أ)</w:t>
      </w:r>
      <w:r>
        <w:rPr>
          <w:rFonts w:hint="cs"/>
          <w:rtl/>
          <w:lang w:eastAsia="zh-TW"/>
        </w:rPr>
        <w:tab/>
      </w:r>
      <w:r w:rsidRPr="00150A85">
        <w:rPr>
          <w:color w:val="FF0000"/>
          <w:rtl/>
          <w:lang w:eastAsia="zh-TW"/>
        </w:rPr>
        <w:t>...</w:t>
      </w:r>
      <w:r>
        <w:rPr>
          <w:rtl/>
          <w:lang w:eastAsia="zh-TW"/>
        </w:rPr>
        <w:t xml:space="preserve">، في </w:t>
      </w:r>
      <w:r w:rsidRPr="00150A85">
        <w:rPr>
          <w:color w:val="FF0000"/>
          <w:rtl/>
          <w:lang w:eastAsia="zh-TW"/>
        </w:rPr>
        <w:t>السنة</w:t>
      </w:r>
      <w:r>
        <w:rPr>
          <w:rtl/>
          <w:lang w:eastAsia="zh-TW"/>
        </w:rPr>
        <w:t>؛</w:t>
      </w:r>
    </w:p>
    <w:p w:rsidR="00215BDC" w:rsidRDefault="00215BDC" w:rsidP="00215BDC">
      <w:pPr>
        <w:pStyle w:val="SingleTxtGA"/>
        <w:rPr>
          <w:rtl/>
          <w:lang w:eastAsia="zh-TW"/>
        </w:rPr>
      </w:pPr>
      <w:r>
        <w:rPr>
          <w:rFonts w:hint="cs"/>
          <w:rtl/>
          <w:lang w:eastAsia="zh-TW"/>
        </w:rPr>
        <w:tab/>
      </w:r>
      <w:r>
        <w:rPr>
          <w:rtl/>
          <w:lang w:eastAsia="zh-TW"/>
        </w:rPr>
        <w:t>(ب)</w:t>
      </w:r>
      <w:r>
        <w:rPr>
          <w:rFonts w:hint="cs"/>
          <w:rtl/>
          <w:lang w:eastAsia="zh-TW"/>
        </w:rPr>
        <w:tab/>
      </w:r>
      <w:r w:rsidRPr="00150A85">
        <w:rPr>
          <w:color w:val="FF0000"/>
          <w:rtl/>
          <w:lang w:eastAsia="zh-TW"/>
        </w:rPr>
        <w:t>...</w:t>
      </w:r>
      <w:r>
        <w:rPr>
          <w:rtl/>
          <w:lang w:eastAsia="zh-TW"/>
        </w:rPr>
        <w:t xml:space="preserve">، في </w:t>
      </w:r>
      <w:r w:rsidRPr="00150A85">
        <w:rPr>
          <w:color w:val="FF0000"/>
          <w:rtl/>
          <w:lang w:eastAsia="zh-TW"/>
        </w:rPr>
        <w:t>التاريخ</w:t>
      </w:r>
      <w:r>
        <w:rPr>
          <w:rtl/>
          <w:lang w:eastAsia="zh-TW"/>
        </w:rPr>
        <w:t>؛</w:t>
      </w:r>
    </w:p>
    <w:p w:rsidR="00215BDC" w:rsidRPr="00BA26DA" w:rsidRDefault="00215BDC" w:rsidP="00215BDC">
      <w:pPr>
        <w:pStyle w:val="SingleTxtGA"/>
        <w:rPr>
          <w:rtl/>
          <w:lang w:eastAsia="zh-TW"/>
        </w:rPr>
      </w:pPr>
      <w:r>
        <w:rPr>
          <w:rFonts w:hint="cs"/>
          <w:rtl/>
          <w:lang w:eastAsia="zh-TW"/>
        </w:rPr>
        <w:tab/>
      </w:r>
      <w:r>
        <w:rPr>
          <w:rtl/>
          <w:lang w:eastAsia="zh-TW"/>
        </w:rPr>
        <w:t>(ج)</w:t>
      </w:r>
      <w:r>
        <w:rPr>
          <w:rFonts w:hint="cs"/>
          <w:rtl/>
          <w:lang w:eastAsia="zh-TW"/>
        </w:rPr>
        <w:tab/>
      </w:r>
      <w:r>
        <w:rPr>
          <w:rFonts w:hint="cs"/>
          <w:color w:val="FF0000"/>
          <w:rtl/>
          <w:lang w:eastAsia="zh-TW"/>
        </w:rPr>
        <w:t>...</w:t>
      </w:r>
      <w:r>
        <w:rPr>
          <w:rtl/>
          <w:lang w:eastAsia="zh-TW"/>
        </w:rPr>
        <w:t>.</w:t>
      </w:r>
    </w:p>
    <w:p w:rsidR="00215BDC" w:rsidRPr="00150A85" w:rsidRDefault="00215BDC" w:rsidP="00215BDC">
      <w:pPr>
        <w:pStyle w:val="HChGA"/>
        <w:rPr>
          <w:rFonts w:eastAsia="Malgun Gothic"/>
          <w:rtl/>
          <w:lang w:eastAsia="zh-TW"/>
        </w:rPr>
      </w:pPr>
      <w:r>
        <w:rPr>
          <w:rFonts w:hint="cs"/>
          <w:rtl/>
          <w:lang w:eastAsia="zh-TW"/>
        </w:rPr>
        <w:lastRenderedPageBreak/>
        <w:tab/>
      </w:r>
      <w:r w:rsidRPr="00150A85">
        <w:rPr>
          <w:rtl/>
          <w:lang w:eastAsia="zh-TW"/>
        </w:rPr>
        <w:t>ثالثا</w:t>
      </w:r>
      <w:r>
        <w:rPr>
          <w:rFonts w:hint="cs"/>
          <w:rtl/>
          <w:lang w:eastAsia="zh-TW"/>
        </w:rPr>
        <w:t>ً</w:t>
      </w:r>
      <w:r w:rsidRPr="00150A85">
        <w:rPr>
          <w:rtl/>
          <w:lang w:eastAsia="zh-TW"/>
        </w:rPr>
        <w:t>-</w:t>
      </w:r>
      <w:r>
        <w:rPr>
          <w:rFonts w:hint="cs"/>
          <w:rtl/>
          <w:lang w:eastAsia="zh-TW"/>
        </w:rPr>
        <w:tab/>
      </w:r>
      <w:r w:rsidRPr="00150A85">
        <w:rPr>
          <w:rtl/>
          <w:lang w:eastAsia="zh-TW"/>
        </w:rPr>
        <w:t>العوامل والصعوبات التي تعوق تنفيذ الاتفاقية</w:t>
      </w:r>
      <w:r>
        <w:rPr>
          <w:rFonts w:eastAsia="Malgun Gothic"/>
          <w:rtl/>
          <w:lang w:eastAsia="zh-TW"/>
        </w:rPr>
        <w:t xml:space="preserve"> </w:t>
      </w:r>
      <w:r w:rsidRPr="00150A85">
        <w:rPr>
          <w:rFonts w:eastAsia="Malgun Gothic"/>
          <w:highlight w:val="yellow"/>
          <w:rtl/>
          <w:lang w:eastAsia="zh-TW"/>
        </w:rPr>
        <w:t>[[لا يدرَج دائماً. ي</w:t>
      </w:r>
      <w:r>
        <w:rPr>
          <w:rFonts w:eastAsia="Malgun Gothic" w:hint="cs"/>
          <w:highlight w:val="yellow"/>
          <w:rtl/>
          <w:lang w:eastAsia="zh-TW"/>
        </w:rPr>
        <w:t>ُ</w:t>
      </w:r>
      <w:r w:rsidRPr="00150A85">
        <w:rPr>
          <w:rFonts w:eastAsia="Malgun Gothic"/>
          <w:highlight w:val="yellow"/>
          <w:rtl/>
          <w:lang w:eastAsia="zh-TW"/>
        </w:rPr>
        <w:t>عاد ترقيم العناوين التالية حسبما هو مناسب.]]</w:t>
      </w:r>
    </w:p>
    <w:p w:rsidR="00215BDC" w:rsidRPr="00150A85" w:rsidRDefault="00215BDC" w:rsidP="00215BDC">
      <w:pPr>
        <w:pStyle w:val="HChGA"/>
        <w:rPr>
          <w:rFonts w:eastAsia="Malgun Gothic"/>
          <w:rtl/>
          <w:lang w:eastAsia="zh-TW"/>
        </w:rPr>
      </w:pPr>
      <w:r>
        <w:rPr>
          <w:rFonts w:hint="cs"/>
          <w:rtl/>
          <w:lang w:eastAsia="zh-TW"/>
        </w:rPr>
        <w:tab/>
      </w:r>
      <w:r w:rsidRPr="00150A85">
        <w:rPr>
          <w:rtl/>
          <w:lang w:eastAsia="zh-TW"/>
        </w:rPr>
        <w:t>رابعا</w:t>
      </w:r>
      <w:r>
        <w:rPr>
          <w:rFonts w:hint="cs"/>
          <w:rtl/>
          <w:lang w:eastAsia="zh-TW"/>
        </w:rPr>
        <w:t>ً</w:t>
      </w:r>
      <w:r w:rsidRPr="00150A85">
        <w:rPr>
          <w:rtl/>
          <w:lang w:eastAsia="zh-TW"/>
        </w:rPr>
        <w:t>-</w:t>
      </w:r>
      <w:r>
        <w:rPr>
          <w:rFonts w:hint="cs"/>
          <w:rtl/>
          <w:lang w:eastAsia="zh-TW"/>
        </w:rPr>
        <w:tab/>
      </w:r>
      <w:r w:rsidRPr="00150A85">
        <w:rPr>
          <w:rtl/>
          <w:lang w:eastAsia="zh-TW"/>
        </w:rPr>
        <w:t>دواعي القلق الرئيسية والتوصيات</w:t>
      </w:r>
    </w:p>
    <w:p w:rsidR="00215BDC" w:rsidRPr="000429AC" w:rsidRDefault="00215BDC" w:rsidP="00215BDC">
      <w:pPr>
        <w:pStyle w:val="SingleTxtGA"/>
        <w:rPr>
          <w:rFonts w:eastAsia="Malgun Gothic"/>
          <w:rtl/>
          <w:lang w:eastAsia="zh-TW"/>
        </w:rPr>
      </w:pPr>
      <w:r w:rsidRPr="000429AC">
        <w:rPr>
          <w:rFonts w:eastAsia="Malgun Gothic"/>
          <w:b/>
          <w:rtl/>
          <w:lang w:eastAsia="zh-TW"/>
        </w:rPr>
        <w:t>4-</w:t>
      </w:r>
      <w:r w:rsidRPr="000429AC">
        <w:rPr>
          <w:rFonts w:eastAsia="Malgun Gothic"/>
          <w:b/>
          <w:rtl/>
          <w:lang w:eastAsia="zh-TW"/>
        </w:rPr>
        <w:tab/>
      </w:r>
      <w:r>
        <w:rPr>
          <w:rtl/>
          <w:lang w:eastAsia="zh-TW"/>
        </w:rPr>
        <w:t xml:space="preserve">تذكّر اللجنة الدولة الطرف بترابط جميع الحقوق المكرسة في الاتفاقية وبعدم قابليتها للتجزئة، وتشدد على أهمية جميع التوصيات الواردة في هذه الملاحظات الختامية. وتود اللجنة أن توجه انتباه الدولة الطرف إلى التوصيات المتعلقة بالمجالات التالية، وهي توصيات يجب اتخاذ تدابير عاجلة بشأنها: </w:t>
      </w:r>
      <w:r w:rsidRPr="00A935D9">
        <w:rPr>
          <w:highlight w:val="yellow"/>
          <w:rtl/>
          <w:lang w:eastAsia="zh-TW"/>
        </w:rPr>
        <w:t>[[تختلف المجالات]]</w:t>
      </w:r>
      <w:r>
        <w:rPr>
          <w:rtl/>
          <w:lang w:eastAsia="zh-TW"/>
        </w:rPr>
        <w:t xml:space="preserve"> تعريف الطفل، وبخاصة فيما يتصل بزواج الأطفال (الفقرة </w:t>
      </w:r>
      <w:r w:rsidRPr="00A935D9">
        <w:rPr>
          <w:color w:val="FF0000"/>
          <w:lang w:eastAsia="zh-TW"/>
        </w:rPr>
        <w:t>XX</w:t>
      </w:r>
      <w:r>
        <w:rPr>
          <w:rtl/>
          <w:lang w:eastAsia="zh-TW"/>
        </w:rPr>
        <w:t xml:space="preserve">)، وعدم التمييز (الفقرتان </w:t>
      </w:r>
      <w:r w:rsidRPr="00A935D9">
        <w:rPr>
          <w:color w:val="FF0000"/>
          <w:lang w:eastAsia="zh-TW"/>
        </w:rPr>
        <w:t>XX</w:t>
      </w:r>
      <w:r w:rsidRPr="00A935D9">
        <w:rPr>
          <w:color w:val="FF0000"/>
          <w:rtl/>
          <w:lang w:eastAsia="zh-TW"/>
        </w:rPr>
        <w:t xml:space="preserve"> </w:t>
      </w:r>
      <w:r>
        <w:rPr>
          <w:rtl/>
          <w:lang w:eastAsia="zh-TW"/>
        </w:rPr>
        <w:t>و</w:t>
      </w:r>
      <w:r w:rsidRPr="00A935D9">
        <w:rPr>
          <w:color w:val="FF0000"/>
          <w:lang w:eastAsia="zh-TW"/>
        </w:rPr>
        <w:t>XX</w:t>
      </w:r>
      <w:r>
        <w:rPr>
          <w:rtl/>
          <w:lang w:eastAsia="zh-TW"/>
        </w:rPr>
        <w:t xml:space="preserve">)، والحق في الحياة والبقاء والنمو (الفقرة </w:t>
      </w:r>
      <w:r w:rsidRPr="00A935D9">
        <w:rPr>
          <w:color w:val="FF0000"/>
          <w:lang w:eastAsia="zh-TW"/>
        </w:rPr>
        <w:t>XX</w:t>
      </w:r>
      <w:r>
        <w:rPr>
          <w:rtl/>
          <w:lang w:eastAsia="zh-TW"/>
        </w:rPr>
        <w:t xml:space="preserve">)، والتعذيب وإساءة المعاملة (الفقرة </w:t>
      </w:r>
      <w:r w:rsidRPr="00A935D9">
        <w:rPr>
          <w:color w:val="FF0000"/>
          <w:lang w:eastAsia="zh-TW"/>
        </w:rPr>
        <w:t>XX</w:t>
      </w:r>
      <w:r>
        <w:rPr>
          <w:rtl/>
          <w:lang w:eastAsia="zh-TW"/>
        </w:rPr>
        <w:t xml:space="preserve">)، والأطفال في المنازعات المسلحة (الفقرة </w:t>
      </w:r>
      <w:r w:rsidRPr="00787CCC">
        <w:rPr>
          <w:color w:val="FF0000"/>
          <w:lang w:eastAsia="zh-TW"/>
        </w:rPr>
        <w:t>XX</w:t>
      </w:r>
      <w:r>
        <w:rPr>
          <w:rtl/>
          <w:lang w:eastAsia="zh-TW"/>
        </w:rPr>
        <w:t xml:space="preserve">)، وقضاء الأحداث (الفقرة </w:t>
      </w:r>
      <w:r w:rsidRPr="00787CCC">
        <w:rPr>
          <w:color w:val="FF0000"/>
          <w:lang w:eastAsia="zh-TW"/>
        </w:rPr>
        <w:t>XX</w:t>
      </w:r>
      <w:r>
        <w:rPr>
          <w:rtl/>
          <w:lang w:eastAsia="zh-TW"/>
        </w:rPr>
        <w:t>).</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ألف-</w:t>
      </w:r>
      <w:r>
        <w:rPr>
          <w:rFonts w:hint="cs"/>
          <w:rtl/>
          <w:lang w:eastAsia="zh-TW"/>
        </w:rPr>
        <w:tab/>
      </w:r>
      <w:r w:rsidRPr="00787CCC">
        <w:rPr>
          <w:rtl/>
          <w:lang w:eastAsia="zh-TW"/>
        </w:rPr>
        <w:t>تدابير التنفيذ العامة (المواد 4 و42 و44(6))</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باء-</w:t>
      </w:r>
      <w:r>
        <w:rPr>
          <w:rFonts w:hint="cs"/>
          <w:rtl/>
          <w:lang w:eastAsia="zh-TW"/>
        </w:rPr>
        <w:tab/>
      </w:r>
      <w:r w:rsidRPr="00787CCC">
        <w:rPr>
          <w:rtl/>
          <w:lang w:eastAsia="zh-TW"/>
        </w:rPr>
        <w:t xml:space="preserve">تعريف الطفل (المادة 1) </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جيم-</w:t>
      </w:r>
      <w:r>
        <w:rPr>
          <w:rFonts w:hint="cs"/>
          <w:rtl/>
          <w:lang w:eastAsia="zh-TW"/>
        </w:rPr>
        <w:tab/>
      </w:r>
      <w:r w:rsidRPr="00787CCC">
        <w:rPr>
          <w:rtl/>
          <w:lang w:eastAsia="zh-TW"/>
        </w:rPr>
        <w:t>المبادئ العامة (المواد 2 و3 و6 و12)</w:t>
      </w:r>
    </w:p>
    <w:p w:rsidR="00215BDC" w:rsidRPr="00787CCC" w:rsidRDefault="00215BDC" w:rsidP="00215BDC">
      <w:pPr>
        <w:pStyle w:val="H1GA"/>
        <w:spacing w:before="200" w:after="200"/>
        <w:rPr>
          <w:rFonts w:eastAsia="Malgun Gothic"/>
          <w:rtl/>
          <w:lang w:eastAsia="zh-TW"/>
        </w:rPr>
      </w:pPr>
      <w:r>
        <w:rPr>
          <w:rFonts w:hint="cs"/>
          <w:rtl/>
          <w:lang w:eastAsia="zh-TW"/>
        </w:rPr>
        <w:tab/>
      </w:r>
      <w:r w:rsidRPr="00787CCC">
        <w:rPr>
          <w:rtl/>
          <w:lang w:eastAsia="zh-TW"/>
        </w:rPr>
        <w:t>دال-</w:t>
      </w:r>
      <w:r>
        <w:rPr>
          <w:rFonts w:hint="cs"/>
          <w:rtl/>
          <w:lang w:eastAsia="zh-TW"/>
        </w:rPr>
        <w:tab/>
      </w:r>
      <w:r w:rsidRPr="00787CCC">
        <w:rPr>
          <w:rtl/>
          <w:lang w:eastAsia="zh-TW"/>
        </w:rPr>
        <w:t>الحقوق والحريات المدنية (المواد 7 و8 و13-17)</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هاء-</w:t>
      </w:r>
      <w:r>
        <w:rPr>
          <w:rFonts w:hint="cs"/>
          <w:rtl/>
          <w:lang w:eastAsia="zh-TW"/>
        </w:rPr>
        <w:tab/>
      </w:r>
      <w:r w:rsidRPr="00787CCC">
        <w:rPr>
          <w:rtl/>
          <w:lang w:eastAsia="zh-TW"/>
        </w:rPr>
        <w:t>العنف ضد الأطفال (المواد 19 و24(3) و28(2) و34 و37(أ) و39)</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واو-</w:t>
      </w:r>
      <w:r>
        <w:rPr>
          <w:rFonts w:hint="cs"/>
          <w:rtl/>
          <w:lang w:eastAsia="zh-TW"/>
        </w:rPr>
        <w:tab/>
      </w:r>
      <w:r w:rsidRPr="00787CCC">
        <w:rPr>
          <w:rtl/>
          <w:lang w:eastAsia="zh-TW"/>
        </w:rPr>
        <w:t>البيئة الأسرية والرعاية البديلة (المواد 5 و9-11 و18(1) و(2) و20 و21 و25 و27(4))</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زاي-</w:t>
      </w:r>
      <w:r>
        <w:rPr>
          <w:rFonts w:hint="cs"/>
          <w:rtl/>
          <w:lang w:eastAsia="zh-TW"/>
        </w:rPr>
        <w:tab/>
      </w:r>
      <w:r w:rsidRPr="00787CCC">
        <w:rPr>
          <w:rtl/>
          <w:lang w:eastAsia="zh-TW"/>
        </w:rPr>
        <w:t xml:space="preserve">الإعاقة والصحة الأساسية </w:t>
      </w:r>
      <w:r>
        <w:rPr>
          <w:rtl/>
          <w:lang w:eastAsia="zh-TW"/>
        </w:rPr>
        <w:t>والرفاه</w:t>
      </w:r>
      <w:r w:rsidRPr="00787CCC">
        <w:rPr>
          <w:rtl/>
          <w:lang w:eastAsia="zh-TW"/>
        </w:rPr>
        <w:t xml:space="preserve"> (المواد 6 و18(3) و23 و24 و26 و27(1</w:t>
      </w:r>
      <w:r>
        <w:rPr>
          <w:rFonts w:hint="cs"/>
          <w:rtl/>
          <w:lang w:eastAsia="zh-TW"/>
        </w:rPr>
        <w:t>)</w:t>
      </w:r>
      <w:r w:rsidRPr="00787CCC">
        <w:rPr>
          <w:rtl/>
          <w:lang w:eastAsia="zh-TW"/>
        </w:rPr>
        <w:t>-</w:t>
      </w:r>
      <w:r>
        <w:rPr>
          <w:rFonts w:hint="cs"/>
          <w:rtl/>
          <w:lang w:eastAsia="zh-TW"/>
        </w:rPr>
        <w:t>(</w:t>
      </w:r>
      <w:r w:rsidRPr="00787CCC">
        <w:rPr>
          <w:rtl/>
          <w:lang w:eastAsia="zh-TW"/>
        </w:rPr>
        <w:t>3) و33)</w:t>
      </w:r>
    </w:p>
    <w:p w:rsidR="00215BDC" w:rsidRPr="00787CCC" w:rsidRDefault="00215BDC" w:rsidP="00215BDC">
      <w:pPr>
        <w:pStyle w:val="H1GA"/>
        <w:spacing w:before="200" w:after="200"/>
        <w:rPr>
          <w:rFonts w:eastAsia="Malgun Gothic"/>
          <w:rtl/>
          <w:lang w:eastAsia="zh-TW"/>
        </w:rPr>
      </w:pPr>
      <w:r>
        <w:rPr>
          <w:rFonts w:hint="cs"/>
          <w:rtl/>
          <w:lang w:eastAsia="zh-TW"/>
        </w:rPr>
        <w:tab/>
      </w:r>
      <w:r w:rsidRPr="00787CCC">
        <w:rPr>
          <w:rtl/>
          <w:lang w:eastAsia="zh-TW"/>
        </w:rPr>
        <w:t>حاء-</w:t>
      </w:r>
      <w:r>
        <w:rPr>
          <w:rFonts w:hint="cs"/>
          <w:rtl/>
          <w:lang w:eastAsia="zh-TW"/>
        </w:rPr>
        <w:tab/>
      </w:r>
      <w:r w:rsidRPr="00787CCC">
        <w:rPr>
          <w:rtl/>
          <w:lang w:eastAsia="zh-TW"/>
        </w:rPr>
        <w:t>التعليم والترفيه والأنشطة</w:t>
      </w:r>
      <w:r>
        <w:rPr>
          <w:rFonts w:hint="cs"/>
          <w:rtl/>
          <w:lang w:eastAsia="zh-TW"/>
        </w:rPr>
        <w:t xml:space="preserve"> </w:t>
      </w:r>
      <w:r w:rsidRPr="00787CCC">
        <w:rPr>
          <w:rtl/>
          <w:lang w:eastAsia="zh-TW"/>
        </w:rPr>
        <w:t>الثقافية (المواد 28-31)</w:t>
      </w:r>
    </w:p>
    <w:p w:rsidR="00215BDC" w:rsidRPr="00787CCC" w:rsidRDefault="00215BDC" w:rsidP="00215BDC">
      <w:pPr>
        <w:pStyle w:val="H1GA"/>
        <w:spacing w:before="200" w:after="200"/>
        <w:rPr>
          <w:rtl/>
          <w:lang w:eastAsia="zh-TW"/>
        </w:rPr>
      </w:pPr>
      <w:r>
        <w:rPr>
          <w:rFonts w:hint="cs"/>
          <w:rtl/>
          <w:lang w:eastAsia="zh-TW"/>
        </w:rPr>
        <w:tab/>
      </w:r>
      <w:r w:rsidRPr="00787CCC">
        <w:rPr>
          <w:rtl/>
          <w:lang w:eastAsia="zh-TW"/>
        </w:rPr>
        <w:t>طاء-</w:t>
      </w:r>
      <w:r>
        <w:rPr>
          <w:rFonts w:hint="cs"/>
          <w:rtl/>
          <w:lang w:eastAsia="zh-TW"/>
        </w:rPr>
        <w:tab/>
      </w:r>
      <w:r w:rsidRPr="00787CCC">
        <w:rPr>
          <w:rtl/>
          <w:lang w:eastAsia="zh-TW"/>
        </w:rPr>
        <w:t>تدابير الحماية الخاصة (المواد 22 و30 و32 و33 و35 و36 و37(ب)-(د) و38-40)</w:t>
      </w:r>
    </w:p>
    <w:p w:rsidR="00215BDC" w:rsidRPr="00ED29FD" w:rsidRDefault="00215BDC" w:rsidP="00215BDC">
      <w:pPr>
        <w:pStyle w:val="H1GA"/>
        <w:spacing w:before="200" w:after="200"/>
        <w:rPr>
          <w:rtl/>
          <w:lang w:eastAsia="zh-TW"/>
        </w:rPr>
      </w:pPr>
      <w:r>
        <w:rPr>
          <w:rFonts w:hint="cs"/>
          <w:rtl/>
          <w:lang w:eastAsia="zh-TW"/>
        </w:rPr>
        <w:tab/>
      </w:r>
      <w:r w:rsidRPr="00787CCC">
        <w:rPr>
          <w:rtl/>
          <w:lang w:eastAsia="zh-TW"/>
        </w:rPr>
        <w:t>ياء-</w:t>
      </w:r>
      <w:r>
        <w:rPr>
          <w:rFonts w:hint="cs"/>
          <w:rtl/>
        </w:rPr>
        <w:tab/>
      </w:r>
      <w:r w:rsidRPr="00787CCC">
        <w:rPr>
          <w:rtl/>
          <w:lang w:eastAsia="zh-TW"/>
        </w:rPr>
        <w:t>التصديق على البروتوكول الاختياري للاتفاقية المتعلق بإجراء تقديم البلاغات</w:t>
      </w:r>
    </w:p>
    <w:p w:rsidR="00215BDC" w:rsidRPr="000959CB" w:rsidRDefault="00215BDC" w:rsidP="00215BDC">
      <w:pPr>
        <w:pStyle w:val="SingleTxtGA"/>
        <w:rPr>
          <w:b/>
          <w:bCs/>
          <w:rtl/>
          <w:lang w:eastAsia="zh-TW"/>
        </w:rPr>
      </w:pPr>
      <w:r w:rsidRPr="00C1116E">
        <w:rPr>
          <w:rtl/>
          <w:lang w:eastAsia="zh-TW"/>
        </w:rPr>
        <w:t>5-</w:t>
      </w:r>
      <w:r w:rsidRPr="00C1116E">
        <w:rPr>
          <w:rtl/>
          <w:lang w:eastAsia="zh-TW"/>
        </w:rPr>
        <w:tab/>
      </w:r>
      <w:r w:rsidRPr="000959CB">
        <w:rPr>
          <w:b/>
          <w:bCs/>
          <w:rtl/>
          <w:lang w:eastAsia="zh-TW"/>
        </w:rPr>
        <w:t xml:space="preserve"> توصي اللجنة الدولة الطرف، توخياً لزيادة تعزيز إعمال حقوق الطفل، بالتصديق على البروتوكول الاختياري للاتفاقية المتعلق بإجراء تقديم البلاغات. </w:t>
      </w:r>
    </w:p>
    <w:p w:rsidR="00215BDC" w:rsidRPr="00C1116E" w:rsidRDefault="00215BDC" w:rsidP="00215BDC">
      <w:pPr>
        <w:pStyle w:val="H1GA"/>
        <w:rPr>
          <w:rtl/>
          <w:lang w:eastAsia="zh-TW"/>
        </w:rPr>
      </w:pPr>
      <w:r>
        <w:rPr>
          <w:rFonts w:hint="cs"/>
          <w:rtl/>
          <w:lang w:eastAsia="zh-TW"/>
        </w:rPr>
        <w:lastRenderedPageBreak/>
        <w:tab/>
      </w:r>
      <w:r w:rsidRPr="00C1116E">
        <w:rPr>
          <w:rtl/>
          <w:lang w:eastAsia="zh-TW"/>
        </w:rPr>
        <w:t>كاف-</w:t>
      </w:r>
      <w:r>
        <w:rPr>
          <w:rFonts w:hint="cs"/>
          <w:rtl/>
          <w:lang w:eastAsia="zh-TW"/>
        </w:rPr>
        <w:tab/>
      </w:r>
      <w:r w:rsidRPr="00C1116E">
        <w:rPr>
          <w:rtl/>
          <w:lang w:eastAsia="zh-TW"/>
        </w:rPr>
        <w:t>التصديق على الصكوك الدولية لحقوق الإنسان</w:t>
      </w:r>
    </w:p>
    <w:p w:rsidR="00215BDC" w:rsidRPr="00541329" w:rsidRDefault="00215BDC" w:rsidP="00215BDC">
      <w:pPr>
        <w:pStyle w:val="SingleTxtGA"/>
        <w:rPr>
          <w:bCs/>
          <w:spacing w:val="-4"/>
          <w:rtl/>
          <w:lang w:eastAsia="zh-TW"/>
        </w:rPr>
      </w:pPr>
      <w:r w:rsidRPr="00541329">
        <w:rPr>
          <w:spacing w:val="-4"/>
          <w:rtl/>
          <w:lang w:eastAsia="zh-TW"/>
        </w:rPr>
        <w:t>6-</w:t>
      </w:r>
      <w:r w:rsidRPr="00541329">
        <w:rPr>
          <w:spacing w:val="-4"/>
          <w:rtl/>
          <w:lang w:eastAsia="zh-TW"/>
        </w:rPr>
        <w:tab/>
      </w:r>
      <w:r w:rsidRPr="00541329">
        <w:rPr>
          <w:bCs/>
          <w:spacing w:val="-4"/>
          <w:rtl/>
          <w:lang w:eastAsia="zh-TW"/>
        </w:rPr>
        <w:t xml:space="preserve"> توصي اللجنة الدولة الطرف، توخياً لزيادة تعزيز إعمال حقوق الطفل، </w:t>
      </w:r>
      <w:r w:rsidRPr="00541329">
        <w:rPr>
          <w:color w:val="FF0000"/>
          <w:spacing w:val="-4"/>
          <w:rtl/>
          <w:lang w:eastAsia="zh-TW"/>
        </w:rPr>
        <w:t>[</w:t>
      </w:r>
      <w:r w:rsidRPr="00541329">
        <w:rPr>
          <w:bCs/>
          <w:color w:val="FF0000"/>
          <w:spacing w:val="-4"/>
          <w:rtl/>
          <w:lang w:eastAsia="zh-TW"/>
        </w:rPr>
        <w:t>بالتصديق</w:t>
      </w:r>
      <w:r w:rsidRPr="00541329">
        <w:rPr>
          <w:color w:val="FF0000"/>
          <w:spacing w:val="-4"/>
          <w:rtl/>
          <w:lang w:eastAsia="zh-TW"/>
        </w:rPr>
        <w:t>] [</w:t>
      </w:r>
      <w:r w:rsidRPr="00541329">
        <w:rPr>
          <w:bCs/>
          <w:color w:val="FF0000"/>
          <w:spacing w:val="-4"/>
          <w:rtl/>
          <w:lang w:eastAsia="zh-TW"/>
        </w:rPr>
        <w:t>بالنظر في التصديق</w:t>
      </w:r>
      <w:r w:rsidRPr="00541329">
        <w:rPr>
          <w:color w:val="FF0000"/>
          <w:spacing w:val="-4"/>
          <w:rtl/>
          <w:lang w:eastAsia="zh-TW"/>
        </w:rPr>
        <w:t>]</w:t>
      </w:r>
      <w:r w:rsidRPr="00541329">
        <w:rPr>
          <w:bCs/>
          <w:spacing w:val="-4"/>
          <w:rtl/>
          <w:lang w:eastAsia="zh-TW"/>
        </w:rPr>
        <w:t xml:space="preserve"> على الصكوك الأساسية </w:t>
      </w:r>
      <w:r>
        <w:rPr>
          <w:rFonts w:hint="cs"/>
          <w:bCs/>
          <w:spacing w:val="-4"/>
          <w:rtl/>
          <w:lang w:eastAsia="zh-TW"/>
        </w:rPr>
        <w:t xml:space="preserve">التالية </w:t>
      </w:r>
      <w:r w:rsidRPr="00541329">
        <w:rPr>
          <w:bCs/>
          <w:spacing w:val="-4"/>
          <w:rtl/>
          <w:lang w:eastAsia="zh-TW"/>
        </w:rPr>
        <w:t>لحقوق الإنسان التي لم تصبح طرفاً فيها بعد:</w:t>
      </w:r>
    </w:p>
    <w:p w:rsidR="00215BDC" w:rsidRPr="000959CB" w:rsidRDefault="00215BDC" w:rsidP="00215BDC">
      <w:pPr>
        <w:pStyle w:val="SingleTxtGA"/>
        <w:rPr>
          <w:b/>
          <w:bCs/>
          <w:rtl/>
          <w:lang w:eastAsia="zh-TW"/>
        </w:rPr>
      </w:pPr>
      <w:r w:rsidRPr="000959CB">
        <w:rPr>
          <w:rFonts w:hint="cs"/>
          <w:b/>
          <w:bCs/>
          <w:rtl/>
          <w:lang w:eastAsia="zh-TW"/>
        </w:rPr>
        <w:tab/>
      </w:r>
      <w:r w:rsidRPr="000959CB">
        <w:rPr>
          <w:rtl/>
          <w:lang w:eastAsia="zh-TW"/>
        </w:rPr>
        <w:t>(أ)</w:t>
      </w:r>
      <w:r w:rsidRPr="000959CB">
        <w:rPr>
          <w:rFonts w:hint="cs"/>
          <w:b/>
          <w:bCs/>
          <w:rtl/>
          <w:lang w:eastAsia="zh-TW"/>
        </w:rPr>
        <w:tab/>
      </w:r>
      <w:r w:rsidRPr="000959CB">
        <w:rPr>
          <w:b/>
          <w:bCs/>
          <w:color w:val="FF0000"/>
          <w:rtl/>
          <w:lang w:eastAsia="zh-TW"/>
        </w:rPr>
        <w:t>...</w:t>
      </w:r>
      <w:r w:rsidRPr="000959CB">
        <w:rPr>
          <w:b/>
          <w:bCs/>
          <w:rtl/>
          <w:lang w:eastAsia="zh-TW"/>
        </w:rPr>
        <w:t>؛</w:t>
      </w:r>
    </w:p>
    <w:p w:rsidR="00215BDC" w:rsidRPr="000959CB" w:rsidRDefault="00215BDC" w:rsidP="00215BDC">
      <w:pPr>
        <w:pStyle w:val="SingleTxtGA"/>
        <w:rPr>
          <w:b/>
          <w:bCs/>
          <w:rtl/>
          <w:lang w:eastAsia="zh-TW"/>
        </w:rPr>
      </w:pPr>
      <w:r w:rsidRPr="000959CB">
        <w:rPr>
          <w:rFonts w:hint="cs"/>
          <w:b/>
          <w:bCs/>
          <w:rtl/>
          <w:lang w:eastAsia="zh-TW"/>
        </w:rPr>
        <w:tab/>
      </w:r>
      <w:r w:rsidRPr="000959CB">
        <w:rPr>
          <w:rtl/>
          <w:lang w:eastAsia="zh-TW"/>
        </w:rPr>
        <w:t>(ب)</w:t>
      </w:r>
      <w:r w:rsidRPr="000959CB">
        <w:rPr>
          <w:rFonts w:hint="cs"/>
          <w:b/>
          <w:bCs/>
          <w:rtl/>
          <w:lang w:eastAsia="zh-TW"/>
        </w:rPr>
        <w:tab/>
      </w:r>
      <w:r w:rsidRPr="000959CB">
        <w:rPr>
          <w:b/>
          <w:bCs/>
          <w:color w:val="FF0000"/>
          <w:rtl/>
          <w:lang w:eastAsia="zh-TW"/>
        </w:rPr>
        <w:t>...</w:t>
      </w:r>
      <w:r w:rsidRPr="000959CB">
        <w:rPr>
          <w:b/>
          <w:bCs/>
          <w:rtl/>
          <w:lang w:eastAsia="zh-TW"/>
        </w:rPr>
        <w:t>؛</w:t>
      </w:r>
    </w:p>
    <w:p w:rsidR="00215BDC" w:rsidRPr="000959CB" w:rsidRDefault="00215BDC" w:rsidP="00215BDC">
      <w:pPr>
        <w:pStyle w:val="SingleTxtGA"/>
        <w:rPr>
          <w:b/>
          <w:bCs/>
          <w:rtl/>
          <w:lang w:eastAsia="zh-TW"/>
        </w:rPr>
      </w:pPr>
      <w:r w:rsidRPr="000959CB">
        <w:rPr>
          <w:rFonts w:hint="cs"/>
          <w:b/>
          <w:bCs/>
          <w:rtl/>
          <w:lang w:eastAsia="zh-TW"/>
        </w:rPr>
        <w:tab/>
      </w:r>
      <w:r w:rsidRPr="000959CB">
        <w:rPr>
          <w:rtl/>
          <w:lang w:eastAsia="zh-TW"/>
        </w:rPr>
        <w:t>(ج)</w:t>
      </w:r>
      <w:r w:rsidRPr="000959CB">
        <w:rPr>
          <w:rFonts w:hint="cs"/>
          <w:b/>
          <w:bCs/>
          <w:rtl/>
          <w:lang w:eastAsia="zh-TW"/>
        </w:rPr>
        <w:tab/>
      </w:r>
      <w:r w:rsidRPr="000959CB">
        <w:rPr>
          <w:rFonts w:hint="cs"/>
          <w:b/>
          <w:bCs/>
          <w:color w:val="FF0000"/>
          <w:rtl/>
          <w:lang w:eastAsia="zh-TW"/>
        </w:rPr>
        <w:t>...</w:t>
      </w:r>
      <w:r w:rsidRPr="000959CB">
        <w:rPr>
          <w:b/>
          <w:bCs/>
          <w:rtl/>
          <w:lang w:eastAsia="zh-TW"/>
        </w:rPr>
        <w:t xml:space="preserve">. </w:t>
      </w:r>
    </w:p>
    <w:p w:rsidR="00215BDC" w:rsidRPr="00C1116E" w:rsidRDefault="00215BDC" w:rsidP="00215BDC">
      <w:pPr>
        <w:pStyle w:val="H1GA"/>
        <w:rPr>
          <w:color w:val="FF0000"/>
          <w:rtl/>
          <w:lang w:eastAsia="zh-TW"/>
        </w:rPr>
      </w:pPr>
      <w:r>
        <w:rPr>
          <w:rFonts w:hint="cs"/>
          <w:rtl/>
          <w:lang w:eastAsia="zh-TW"/>
        </w:rPr>
        <w:tab/>
      </w:r>
      <w:r w:rsidRPr="00C1116E">
        <w:rPr>
          <w:rtl/>
          <w:lang w:eastAsia="zh-TW"/>
        </w:rPr>
        <w:t>لام-</w:t>
      </w:r>
      <w:r>
        <w:rPr>
          <w:rFonts w:hint="cs"/>
          <w:color w:val="FF0000"/>
          <w:rtl/>
          <w:lang w:eastAsia="zh-TW"/>
        </w:rPr>
        <w:tab/>
      </w:r>
      <w:r w:rsidRPr="00C1116E">
        <w:rPr>
          <w:color w:val="FF0000"/>
          <w:rtl/>
          <w:lang w:eastAsia="zh-TW"/>
        </w:rPr>
        <w:t>[التعاون مع الهيئات الإقليمية] [التعاون مع الهيئات الدولية] [التعاون مع الهيئات الإقليمية والدولية]</w:t>
      </w:r>
    </w:p>
    <w:p w:rsidR="00215BDC" w:rsidRPr="00C1116E" w:rsidRDefault="00215BDC" w:rsidP="00215BDC">
      <w:pPr>
        <w:pStyle w:val="SingleTxtGA"/>
        <w:rPr>
          <w:bCs/>
          <w:rtl/>
          <w:lang w:eastAsia="zh-TW"/>
        </w:rPr>
      </w:pPr>
      <w:r w:rsidRPr="00C1116E">
        <w:rPr>
          <w:rtl/>
          <w:lang w:eastAsia="zh-TW"/>
        </w:rPr>
        <w:t>7-</w:t>
      </w:r>
      <w:r>
        <w:rPr>
          <w:rFonts w:hint="cs"/>
          <w:rtl/>
          <w:lang w:eastAsia="zh-TW"/>
        </w:rPr>
        <w:tab/>
      </w:r>
      <w:r w:rsidRPr="00C1116E">
        <w:rPr>
          <w:bCs/>
          <w:rtl/>
          <w:lang w:eastAsia="zh-TW"/>
        </w:rPr>
        <w:t xml:space="preserve">توصي اللجنة الدولة الطرف بالتعاون مع .... </w:t>
      </w:r>
    </w:p>
    <w:p w:rsidR="00215BDC" w:rsidRPr="00C1116E" w:rsidRDefault="00215BDC" w:rsidP="00215BDC">
      <w:pPr>
        <w:pStyle w:val="HChGA"/>
        <w:rPr>
          <w:rtl/>
          <w:lang w:eastAsia="zh-TW"/>
        </w:rPr>
      </w:pPr>
      <w:r>
        <w:rPr>
          <w:rFonts w:hint="cs"/>
          <w:rtl/>
          <w:lang w:eastAsia="zh-TW"/>
        </w:rPr>
        <w:tab/>
      </w:r>
      <w:r>
        <w:rPr>
          <w:rtl/>
          <w:lang w:eastAsia="zh-TW"/>
        </w:rPr>
        <w:t>خامس</w:t>
      </w:r>
      <w:r>
        <w:rPr>
          <w:rFonts w:hint="cs"/>
          <w:rtl/>
          <w:lang w:eastAsia="zh-TW"/>
        </w:rPr>
        <w:t>اً</w:t>
      </w:r>
      <w:r w:rsidRPr="00C1116E">
        <w:rPr>
          <w:rtl/>
          <w:lang w:eastAsia="zh-TW"/>
        </w:rPr>
        <w:t>-</w:t>
      </w:r>
      <w:r>
        <w:rPr>
          <w:rFonts w:hint="cs"/>
          <w:rtl/>
          <w:lang w:eastAsia="zh-TW"/>
        </w:rPr>
        <w:tab/>
      </w:r>
      <w:r w:rsidRPr="00C1116E">
        <w:rPr>
          <w:rtl/>
          <w:lang w:eastAsia="zh-TW"/>
        </w:rPr>
        <w:t>التنفيذ وتقديم التقارير</w:t>
      </w:r>
    </w:p>
    <w:p w:rsidR="00215BDC" w:rsidRPr="00C1116E" w:rsidRDefault="00215BDC" w:rsidP="00215BDC">
      <w:pPr>
        <w:pStyle w:val="H1GA"/>
        <w:rPr>
          <w:rtl/>
          <w:lang w:eastAsia="zh-TW"/>
        </w:rPr>
      </w:pPr>
      <w:r>
        <w:rPr>
          <w:rFonts w:hint="cs"/>
          <w:rtl/>
          <w:lang w:eastAsia="zh-TW"/>
        </w:rPr>
        <w:tab/>
      </w:r>
      <w:r w:rsidRPr="00C1116E">
        <w:rPr>
          <w:rtl/>
          <w:lang w:eastAsia="zh-TW"/>
        </w:rPr>
        <w:t>ألف-</w:t>
      </w:r>
      <w:r>
        <w:rPr>
          <w:rFonts w:hint="cs"/>
          <w:rtl/>
          <w:lang w:eastAsia="zh-TW"/>
        </w:rPr>
        <w:tab/>
      </w:r>
      <w:r w:rsidRPr="00C1116E">
        <w:rPr>
          <w:rtl/>
          <w:lang w:eastAsia="zh-TW"/>
        </w:rPr>
        <w:t>المتابعة والنشر</w:t>
      </w:r>
    </w:p>
    <w:p w:rsidR="00215BDC" w:rsidRPr="00C01DD7" w:rsidRDefault="00215BDC" w:rsidP="00215BDC">
      <w:pPr>
        <w:pStyle w:val="SingleTxtGA"/>
        <w:rPr>
          <w:bCs/>
          <w:spacing w:val="-2"/>
          <w:rtl/>
          <w:lang w:eastAsia="zh-TW"/>
        </w:rPr>
      </w:pPr>
      <w:r w:rsidRPr="00C01DD7">
        <w:rPr>
          <w:spacing w:val="-2"/>
          <w:rtl/>
          <w:lang w:eastAsia="zh-TW"/>
        </w:rPr>
        <w:t>8-</w:t>
      </w:r>
      <w:r w:rsidRPr="00C01DD7">
        <w:rPr>
          <w:spacing w:val="-2"/>
          <w:rtl/>
          <w:lang w:eastAsia="zh-TW"/>
        </w:rPr>
        <w:tab/>
      </w:r>
      <w:r w:rsidRPr="00C01DD7">
        <w:rPr>
          <w:bCs/>
          <w:spacing w:val="-2"/>
          <w:rtl/>
          <w:lang w:eastAsia="zh-TW"/>
        </w:rPr>
        <w:t xml:space="preserve">توصي اللجنة الدولة الطرف باتخاذ جميع التدابير الملائمة لضمان التنفيذ الكامل للتوصيات الواردة في هذه الملاحظات الختامية. وتوصي اللجنة أيضاً بإتاحة التقرير </w:t>
      </w:r>
      <w:r w:rsidRPr="00C01DD7">
        <w:rPr>
          <w:color w:val="FF0000"/>
          <w:spacing w:val="-2"/>
          <w:rtl/>
          <w:lang w:eastAsia="zh-TW"/>
        </w:rPr>
        <w:t>[</w:t>
      </w:r>
      <w:r w:rsidRPr="00C01DD7">
        <w:rPr>
          <w:bCs/>
          <w:color w:val="FF0000"/>
          <w:spacing w:val="-2"/>
          <w:rtl/>
          <w:lang w:eastAsia="zh-TW"/>
        </w:rPr>
        <w:t>الأولي</w:t>
      </w:r>
      <w:r w:rsidRPr="00C01DD7">
        <w:rPr>
          <w:color w:val="FF0000"/>
          <w:spacing w:val="-2"/>
          <w:rtl/>
          <w:lang w:eastAsia="zh-TW"/>
        </w:rPr>
        <w:t>] [</w:t>
      </w:r>
      <w:r w:rsidRPr="00C01DD7">
        <w:rPr>
          <w:bCs/>
          <w:color w:val="FF0000"/>
          <w:spacing w:val="-2"/>
          <w:rtl/>
          <w:lang w:eastAsia="zh-TW"/>
        </w:rPr>
        <w:t>الجامع للتقارير الدورية</w:t>
      </w:r>
      <w:r w:rsidRPr="00C01DD7">
        <w:rPr>
          <w:color w:val="FF0000"/>
          <w:spacing w:val="-2"/>
          <w:rtl/>
          <w:lang w:eastAsia="zh-TW"/>
        </w:rPr>
        <w:t xml:space="preserve"> [</w:t>
      </w:r>
      <w:r w:rsidRPr="00C01DD7">
        <w:rPr>
          <w:bCs/>
          <w:color w:val="FF0000"/>
          <w:spacing w:val="-2"/>
          <w:rtl/>
          <w:lang w:eastAsia="zh-TW"/>
        </w:rPr>
        <w:t>الرقم</w:t>
      </w:r>
      <w:r w:rsidRPr="00C01DD7">
        <w:rPr>
          <w:color w:val="FF0000"/>
          <w:spacing w:val="-2"/>
          <w:rtl/>
          <w:lang w:eastAsia="zh-TW"/>
        </w:rPr>
        <w:t>]] [</w:t>
      </w:r>
      <w:r w:rsidRPr="00C01DD7">
        <w:rPr>
          <w:bCs/>
          <w:color w:val="FF0000"/>
          <w:spacing w:val="-2"/>
          <w:rtl/>
          <w:lang w:eastAsia="zh-TW"/>
        </w:rPr>
        <w:t>الدوري</w:t>
      </w:r>
      <w:r w:rsidRPr="00C01DD7">
        <w:rPr>
          <w:color w:val="FF0000"/>
          <w:spacing w:val="-2"/>
          <w:rtl/>
          <w:lang w:eastAsia="zh-TW"/>
        </w:rPr>
        <w:t xml:space="preserve"> [</w:t>
      </w:r>
      <w:r w:rsidRPr="00C01DD7">
        <w:rPr>
          <w:bCs/>
          <w:color w:val="FF0000"/>
          <w:spacing w:val="-2"/>
          <w:rtl/>
          <w:lang w:eastAsia="zh-TW"/>
        </w:rPr>
        <w:t>الرقم</w:t>
      </w:r>
      <w:r w:rsidRPr="00C01DD7">
        <w:rPr>
          <w:color w:val="FF0000"/>
          <w:spacing w:val="-2"/>
          <w:rtl/>
          <w:lang w:eastAsia="zh-TW"/>
        </w:rPr>
        <w:t>]]</w:t>
      </w:r>
      <w:r w:rsidRPr="00C01DD7">
        <w:rPr>
          <w:spacing w:val="-2"/>
          <w:rtl/>
          <w:lang w:eastAsia="zh-TW"/>
        </w:rPr>
        <w:t xml:space="preserve">، </w:t>
      </w:r>
      <w:r w:rsidRPr="00C01DD7">
        <w:rPr>
          <w:bCs/>
          <w:spacing w:val="-2"/>
          <w:rtl/>
          <w:lang w:eastAsia="zh-TW"/>
        </w:rPr>
        <w:t>والردود الكتابية على قائمة المسائل، وهذه الملاحظات الختامية على نطاق واسع بلغات البلد</w:t>
      </w:r>
      <w:r w:rsidRPr="00C01DD7">
        <w:rPr>
          <w:spacing w:val="-2"/>
          <w:rtl/>
          <w:lang w:eastAsia="zh-TW"/>
        </w:rPr>
        <w:t>.</w:t>
      </w:r>
      <w:r w:rsidRPr="00C01DD7">
        <w:rPr>
          <w:bCs/>
          <w:spacing w:val="-2"/>
          <w:rtl/>
          <w:lang w:eastAsia="zh-TW"/>
        </w:rPr>
        <w:t xml:space="preserve"> </w:t>
      </w:r>
      <w:r w:rsidRPr="00C01DD7">
        <w:rPr>
          <w:spacing w:val="-2"/>
          <w:highlight w:val="yellow"/>
          <w:rtl/>
          <w:lang w:eastAsia="zh-TW"/>
        </w:rPr>
        <w:t>[[</w:t>
      </w:r>
      <w:r w:rsidRPr="00C01DD7">
        <w:rPr>
          <w:bCs/>
          <w:spacing w:val="-2"/>
          <w:highlight w:val="yellow"/>
          <w:rtl/>
          <w:lang w:eastAsia="zh-TW"/>
        </w:rPr>
        <w:t>مع أن هذه الصيغة تظهر في جميع الملاحظات الختامية، فقد يُدرَج نص إضافي في فقرات منفصلة.</w:t>
      </w:r>
      <w:r w:rsidRPr="00C01DD7">
        <w:rPr>
          <w:spacing w:val="-2"/>
          <w:highlight w:val="yellow"/>
          <w:rtl/>
          <w:lang w:eastAsia="zh-TW"/>
        </w:rPr>
        <w:t>]]</w:t>
      </w:r>
      <w:r w:rsidRPr="00C01DD7">
        <w:rPr>
          <w:spacing w:val="-2"/>
          <w:rtl/>
          <w:lang w:eastAsia="zh-TW"/>
        </w:rPr>
        <w:t xml:space="preserve"> </w:t>
      </w:r>
    </w:p>
    <w:p w:rsidR="00215BDC" w:rsidRPr="008C65C4" w:rsidRDefault="00215BDC" w:rsidP="00215BDC">
      <w:pPr>
        <w:pStyle w:val="H1GA"/>
        <w:rPr>
          <w:rFonts w:eastAsia="Malgun Gothic"/>
          <w:rtl/>
          <w:lang w:eastAsia="zh-TW"/>
        </w:rPr>
      </w:pPr>
      <w:r>
        <w:rPr>
          <w:rFonts w:hint="cs"/>
          <w:rtl/>
          <w:lang w:eastAsia="zh-TW"/>
        </w:rPr>
        <w:tab/>
      </w:r>
      <w:r w:rsidRPr="008C65C4">
        <w:rPr>
          <w:rtl/>
          <w:lang w:eastAsia="zh-TW"/>
        </w:rPr>
        <w:t>باء-</w:t>
      </w:r>
      <w:r>
        <w:rPr>
          <w:rFonts w:hint="cs"/>
          <w:rtl/>
          <w:lang w:eastAsia="zh-TW"/>
        </w:rPr>
        <w:tab/>
      </w:r>
      <w:r w:rsidRPr="008C65C4">
        <w:rPr>
          <w:rtl/>
          <w:lang w:eastAsia="zh-TW"/>
        </w:rPr>
        <w:t xml:space="preserve">التقرير المقبل </w:t>
      </w:r>
    </w:p>
    <w:p w:rsidR="00215BDC" w:rsidRPr="000959CB" w:rsidRDefault="00215BDC" w:rsidP="00215BDC">
      <w:pPr>
        <w:pStyle w:val="SingleTxtGA"/>
        <w:rPr>
          <w:b/>
          <w:bCs/>
          <w:rtl/>
          <w:lang w:eastAsia="zh-TW"/>
        </w:rPr>
      </w:pPr>
      <w:r w:rsidRPr="000959CB">
        <w:rPr>
          <w:rtl/>
          <w:lang w:eastAsia="zh-TW"/>
        </w:rPr>
        <w:t>9-</w:t>
      </w:r>
      <w:r w:rsidRPr="000959CB">
        <w:rPr>
          <w:rtl/>
          <w:lang w:eastAsia="zh-TW"/>
        </w:rPr>
        <w:tab/>
      </w:r>
      <w:r w:rsidRPr="000959CB">
        <w:rPr>
          <w:b/>
          <w:bCs/>
          <w:rtl/>
          <w:lang w:eastAsia="zh-TW"/>
        </w:rPr>
        <w:t>تدعو اللجنة الدولة الطرف إلى أن تقدم تقريرها</w:t>
      </w:r>
      <w:r w:rsidRPr="000959CB">
        <w:rPr>
          <w:b/>
          <w:bCs/>
          <w:color w:val="FF0000"/>
          <w:rtl/>
          <w:lang w:eastAsia="zh-TW"/>
        </w:rPr>
        <w:t xml:space="preserve"> [الجامع للتقارير الدورية [الرقم]] [الدوري [الرقم]]</w:t>
      </w:r>
      <w:r w:rsidRPr="000959CB">
        <w:rPr>
          <w:b/>
          <w:bCs/>
          <w:rtl/>
          <w:lang w:eastAsia="zh-TW"/>
        </w:rPr>
        <w:t xml:space="preserve"> بحلول </w:t>
      </w:r>
      <w:r w:rsidRPr="000959CB">
        <w:rPr>
          <w:b/>
          <w:bCs/>
          <w:color w:val="FF0000"/>
          <w:rtl/>
          <w:lang w:eastAsia="zh-TW"/>
        </w:rPr>
        <w:t xml:space="preserve">التاريخ </w:t>
      </w:r>
      <w:r w:rsidRPr="000959CB">
        <w:rPr>
          <w:b/>
          <w:bCs/>
          <w:rtl/>
          <w:lang w:eastAsia="zh-TW"/>
        </w:rPr>
        <w:t xml:space="preserve">وأن تدرج فيه معلومات عن متابعة هذه الملاحظات الختامية. </w:t>
      </w:r>
      <w:r w:rsidRPr="000959CB">
        <w:rPr>
          <w:rFonts w:ascii="Traditional Arabic" w:hAnsi="Traditional Arabic" w:hint="cs"/>
          <w:b/>
          <w:bCs/>
          <w:rtl/>
          <w:lang w:eastAsia="zh-TW"/>
        </w:rPr>
        <w:t>وينبغي</w:t>
      </w:r>
      <w:r w:rsidRPr="000959CB">
        <w:rPr>
          <w:b/>
          <w:bCs/>
          <w:rtl/>
          <w:lang w:eastAsia="zh-TW"/>
        </w:rPr>
        <w:t xml:space="preserve"> </w:t>
      </w:r>
      <w:r w:rsidRPr="000959CB">
        <w:rPr>
          <w:rFonts w:ascii="Traditional Arabic" w:hAnsi="Traditional Arabic" w:hint="cs"/>
          <w:b/>
          <w:bCs/>
          <w:rtl/>
          <w:lang w:eastAsia="zh-TW"/>
        </w:rPr>
        <w:t>أن</w:t>
      </w:r>
      <w:r w:rsidRPr="000959CB">
        <w:rPr>
          <w:b/>
          <w:bCs/>
          <w:rtl/>
          <w:lang w:eastAsia="zh-TW"/>
        </w:rPr>
        <w:t xml:space="preserve"> </w:t>
      </w:r>
      <w:r w:rsidRPr="000959CB">
        <w:rPr>
          <w:rFonts w:ascii="Traditional Arabic" w:hAnsi="Traditional Arabic" w:hint="cs"/>
          <w:b/>
          <w:bCs/>
          <w:rtl/>
          <w:lang w:eastAsia="zh-TW"/>
        </w:rPr>
        <w:t>يمتثل</w:t>
      </w:r>
      <w:r w:rsidRPr="000959CB">
        <w:rPr>
          <w:b/>
          <w:bCs/>
          <w:rtl/>
          <w:lang w:eastAsia="zh-TW"/>
        </w:rPr>
        <w:t xml:space="preserve"> </w:t>
      </w:r>
      <w:r w:rsidRPr="000959CB">
        <w:rPr>
          <w:rFonts w:ascii="Traditional Arabic" w:hAnsi="Traditional Arabic" w:hint="cs"/>
          <w:b/>
          <w:bCs/>
          <w:rtl/>
          <w:lang w:eastAsia="zh-TW"/>
        </w:rPr>
        <w:t>التقرير</w:t>
      </w:r>
      <w:r w:rsidRPr="000959CB">
        <w:rPr>
          <w:b/>
          <w:bCs/>
          <w:rtl/>
          <w:lang w:eastAsia="zh-TW"/>
        </w:rPr>
        <w:t xml:space="preserve"> </w:t>
      </w:r>
      <w:r w:rsidRPr="000959CB">
        <w:rPr>
          <w:rFonts w:ascii="Traditional Arabic" w:hAnsi="Traditional Arabic" w:hint="cs"/>
          <w:b/>
          <w:bCs/>
          <w:rtl/>
          <w:lang w:eastAsia="zh-TW"/>
        </w:rPr>
        <w:t>للمبادئ</w:t>
      </w:r>
      <w:r w:rsidRPr="000959CB">
        <w:rPr>
          <w:b/>
          <w:bCs/>
          <w:rtl/>
          <w:lang w:eastAsia="zh-TW"/>
        </w:rPr>
        <w:t xml:space="preserve"> </w:t>
      </w:r>
      <w:r w:rsidRPr="000959CB">
        <w:rPr>
          <w:rFonts w:ascii="Traditional Arabic" w:hAnsi="Traditional Arabic" w:hint="cs"/>
          <w:b/>
          <w:bCs/>
          <w:rtl/>
          <w:lang w:eastAsia="zh-TW"/>
        </w:rPr>
        <w:t>التوجيهية</w:t>
      </w:r>
      <w:r w:rsidRPr="000959CB">
        <w:rPr>
          <w:b/>
          <w:bCs/>
          <w:rtl/>
          <w:lang w:eastAsia="zh-TW"/>
        </w:rPr>
        <w:t xml:space="preserve"> </w:t>
      </w:r>
      <w:r w:rsidRPr="000959CB">
        <w:rPr>
          <w:rFonts w:ascii="Traditional Arabic" w:hAnsi="Traditional Arabic" w:hint="cs"/>
          <w:b/>
          <w:bCs/>
          <w:rtl/>
          <w:lang w:eastAsia="zh-TW"/>
        </w:rPr>
        <w:t>المنسقة</w:t>
      </w:r>
      <w:r w:rsidRPr="000959CB">
        <w:rPr>
          <w:b/>
          <w:bCs/>
          <w:rtl/>
          <w:lang w:eastAsia="zh-TW"/>
        </w:rPr>
        <w:t xml:space="preserve"> </w:t>
      </w:r>
      <w:r w:rsidRPr="000959CB">
        <w:rPr>
          <w:rFonts w:ascii="Traditional Arabic" w:hAnsi="Traditional Arabic" w:hint="cs"/>
          <w:b/>
          <w:bCs/>
          <w:rtl/>
          <w:lang w:eastAsia="zh-TW"/>
        </w:rPr>
        <w:t>لتقديم</w:t>
      </w:r>
      <w:r w:rsidRPr="000959CB">
        <w:rPr>
          <w:b/>
          <w:bCs/>
          <w:rtl/>
          <w:lang w:eastAsia="zh-TW"/>
        </w:rPr>
        <w:t xml:space="preserve"> </w:t>
      </w:r>
      <w:r w:rsidRPr="000959CB">
        <w:rPr>
          <w:rFonts w:ascii="Traditional Arabic" w:hAnsi="Traditional Arabic" w:hint="cs"/>
          <w:b/>
          <w:bCs/>
          <w:rtl/>
          <w:lang w:eastAsia="zh-TW"/>
        </w:rPr>
        <w:t>التقارير</w:t>
      </w:r>
      <w:r w:rsidRPr="000959CB">
        <w:rPr>
          <w:b/>
          <w:bCs/>
          <w:rtl/>
          <w:lang w:eastAsia="zh-TW"/>
        </w:rPr>
        <w:t xml:space="preserve"> </w:t>
      </w:r>
      <w:r w:rsidRPr="000959CB">
        <w:rPr>
          <w:rFonts w:ascii="Traditional Arabic" w:hAnsi="Traditional Arabic" w:hint="cs"/>
          <w:b/>
          <w:bCs/>
          <w:rtl/>
          <w:lang w:eastAsia="zh-TW"/>
        </w:rPr>
        <w:t>الخاصة</w:t>
      </w:r>
      <w:r w:rsidRPr="000959CB">
        <w:rPr>
          <w:b/>
          <w:bCs/>
          <w:rtl/>
          <w:lang w:eastAsia="zh-TW"/>
        </w:rPr>
        <w:t xml:space="preserve"> </w:t>
      </w:r>
      <w:r w:rsidRPr="000959CB">
        <w:rPr>
          <w:rFonts w:ascii="Traditional Arabic" w:hAnsi="Traditional Arabic" w:hint="cs"/>
          <w:b/>
          <w:bCs/>
          <w:rtl/>
          <w:lang w:eastAsia="zh-TW"/>
        </w:rPr>
        <w:t>بمعاهدة</w:t>
      </w:r>
      <w:r w:rsidRPr="000959CB">
        <w:rPr>
          <w:b/>
          <w:bCs/>
          <w:rtl/>
          <w:lang w:eastAsia="zh-TW"/>
        </w:rPr>
        <w:t xml:space="preserve"> </w:t>
      </w:r>
      <w:r w:rsidRPr="000959CB">
        <w:rPr>
          <w:rFonts w:ascii="Traditional Arabic" w:hAnsi="Traditional Arabic" w:hint="cs"/>
          <w:b/>
          <w:bCs/>
          <w:rtl/>
          <w:lang w:eastAsia="zh-TW"/>
        </w:rPr>
        <w:t>بعينها،</w:t>
      </w:r>
      <w:r w:rsidRPr="000959CB">
        <w:rPr>
          <w:b/>
          <w:bCs/>
          <w:rtl/>
          <w:lang w:eastAsia="zh-TW"/>
        </w:rPr>
        <w:t xml:space="preserve"> التي اعتمدتها اللجنة في 31 كانون الثاني/يناير 2014 </w:t>
      </w:r>
      <w:r w:rsidRPr="000959CB">
        <w:rPr>
          <w:b/>
          <w:bCs/>
          <w:lang w:eastAsia="ja-JP"/>
        </w:rPr>
        <w:t>(CRC/C/58/Rev.3)</w:t>
      </w:r>
      <w:r w:rsidRPr="000959CB">
        <w:rPr>
          <w:b/>
          <w:bCs/>
          <w:rtl/>
          <w:lang w:eastAsia="zh-TW"/>
        </w:rPr>
        <w:t>، وينبغي</w:t>
      </w:r>
      <w:r>
        <w:rPr>
          <w:b/>
          <w:bCs/>
          <w:rtl/>
          <w:lang w:eastAsia="zh-TW"/>
        </w:rPr>
        <w:t xml:space="preserve"> ألا </w:t>
      </w:r>
      <w:r w:rsidRPr="000959CB">
        <w:rPr>
          <w:b/>
          <w:bCs/>
          <w:rtl/>
          <w:lang w:eastAsia="zh-TW"/>
        </w:rPr>
        <w:t>يتجاوز عدد كلماته 200 21 كلمة (انظر قرار الجمعية العامة 68/268، الفقرة 16).</w:t>
      </w:r>
      <w:r>
        <w:rPr>
          <w:b/>
          <w:bCs/>
          <w:rtl/>
          <w:lang w:eastAsia="zh-TW"/>
        </w:rPr>
        <w:t xml:space="preserve"> وفي </w:t>
      </w:r>
      <w:r w:rsidRPr="000959CB">
        <w:rPr>
          <w:b/>
          <w:bCs/>
          <w:rtl/>
          <w:lang w:eastAsia="zh-TW"/>
        </w:rPr>
        <w:t xml:space="preserve">حال تجاوز عدد كلمات التقرير المقدَّم الحد الأقصى المنصوص عليه، سيُطلب إلى الدولة الطرف أن تقلّص حجمه عملاً بالقرار السالف الذكر. وإذا تعذر على الدولة الطرف مراجعة التقرير وإعادة تقديمه، فلن يمكن ضمان ترجمته كي تنظر فيه هيئة المعاهدة. </w:t>
      </w:r>
    </w:p>
    <w:p w:rsidR="00215BDC" w:rsidRPr="00C01DD7" w:rsidRDefault="00215BDC" w:rsidP="00215BDC">
      <w:pPr>
        <w:pStyle w:val="SingleTxtGA"/>
        <w:rPr>
          <w:b/>
          <w:bCs/>
          <w:spacing w:val="-2"/>
          <w:rtl/>
        </w:rPr>
      </w:pPr>
      <w:r w:rsidRPr="00C01DD7">
        <w:rPr>
          <w:spacing w:val="-2"/>
          <w:rtl/>
          <w:lang w:eastAsia="zh-TW"/>
        </w:rPr>
        <w:t>10-</w:t>
      </w:r>
      <w:r w:rsidRPr="00C01DD7">
        <w:rPr>
          <w:spacing w:val="-2"/>
          <w:rtl/>
          <w:lang w:eastAsia="zh-TW"/>
        </w:rPr>
        <w:tab/>
      </w:r>
      <w:r w:rsidRPr="00C01DD7">
        <w:rPr>
          <w:b/>
          <w:bCs/>
          <w:spacing w:val="-2"/>
          <w:rtl/>
        </w:rPr>
        <w:t>وتدعو اللجنة أيضاً الدولة الطرف إلى تقديم وثيقة أساسية محدثة،</w:t>
      </w:r>
      <w:r>
        <w:rPr>
          <w:b/>
          <w:bCs/>
          <w:spacing w:val="-2"/>
          <w:rtl/>
        </w:rPr>
        <w:t xml:space="preserve"> لا </w:t>
      </w:r>
      <w:r w:rsidRPr="00C01DD7">
        <w:rPr>
          <w:b/>
          <w:bCs/>
          <w:spacing w:val="-2"/>
          <w:rtl/>
        </w:rPr>
        <w:t>يتجاوز عدد كلماتها 400 42 كلمة، وفقاً لمتطلبات الوثيقة الأساسية الموحدة الواردة في المبادئ التوجيهية المنسقة لتقديم التقارير بموجب المعاهدات الدولية لحقوق الإنسان،</w:t>
      </w:r>
      <w:r>
        <w:rPr>
          <w:b/>
          <w:bCs/>
          <w:spacing w:val="-2"/>
          <w:rtl/>
        </w:rPr>
        <w:t xml:space="preserve"> بما </w:t>
      </w:r>
      <w:r w:rsidRPr="00C01DD7">
        <w:rPr>
          <w:b/>
          <w:bCs/>
          <w:spacing w:val="-2"/>
          <w:rtl/>
        </w:rPr>
        <w:t xml:space="preserve">في ذلك </w:t>
      </w:r>
      <w:r w:rsidRPr="00C01DD7">
        <w:rPr>
          <w:b/>
          <w:bCs/>
          <w:spacing w:val="-2"/>
          <w:rtl/>
        </w:rPr>
        <w:lastRenderedPageBreak/>
        <w:t xml:space="preserve">المبادئ التوجيهية لتقديم وثيقة أساسية موحدة ووثائق خاصة بمعاهدات بعينها (انظر </w:t>
      </w:r>
      <w:r w:rsidRPr="00C01DD7">
        <w:rPr>
          <w:b/>
          <w:bCs/>
          <w:spacing w:val="-2"/>
        </w:rPr>
        <w:t>HRI/GEN/2/Rev.6</w:t>
      </w:r>
      <w:r w:rsidRPr="00C01DD7">
        <w:rPr>
          <w:b/>
          <w:bCs/>
          <w:spacing w:val="-2"/>
          <w:rtl/>
        </w:rPr>
        <w:t>، الفصل الأول) والفقرة 16 من قرار الجمعية العامة 68/268.</w:t>
      </w:r>
    </w:p>
    <w:p w:rsidR="00215BDC" w:rsidRPr="00541329" w:rsidRDefault="00215BDC" w:rsidP="00215BDC">
      <w:pPr>
        <w:pStyle w:val="SingleTxtGA"/>
        <w:jc w:val="center"/>
        <w:rPr>
          <w:u w:val="single"/>
          <w:rtl/>
        </w:rPr>
      </w:pPr>
      <w:r>
        <w:rPr>
          <w:rFonts w:hint="cs"/>
          <w:u w:val="single"/>
          <w:rtl/>
        </w:rPr>
        <w:tab/>
      </w:r>
      <w:r>
        <w:rPr>
          <w:rFonts w:hint="cs"/>
          <w:u w:val="single"/>
          <w:rtl/>
        </w:rPr>
        <w:tab/>
      </w:r>
      <w:r>
        <w:rPr>
          <w:rFonts w:hint="cs"/>
          <w:u w:val="single"/>
          <w:rtl/>
        </w:rPr>
        <w:tab/>
      </w:r>
    </w:p>
    <w:sectPr w:rsidR="00215BDC" w:rsidRPr="00541329"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472F4A"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215BDC">
      <w:rPr>
        <w:b/>
        <w:noProof/>
        <w:sz w:val="18"/>
      </w:rPr>
      <w:t>4</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215BDC">
      <w:rPr>
        <w:b/>
        <w:noProof/>
        <w:sz w:val="18"/>
        <w:lang w:val="en-US"/>
      </w:rPr>
      <w:t>3</w:t>
    </w:r>
    <w:r w:rsidRPr="005B635A">
      <w:rPr>
        <w:b/>
        <w:sz w:val="18"/>
        <w:lang w:val="en-US"/>
      </w:rPr>
      <w:fldChar w:fldCharType="end"/>
    </w:r>
    <w:r>
      <w:rPr>
        <w:b/>
        <w:sz w:val="18"/>
        <w:lang w:val="en-US"/>
      </w:rPr>
      <w:tab/>
    </w:r>
    <w:r w:rsidR="00472F4A">
      <w:fldChar w:fldCharType="begin"/>
    </w:r>
    <w:r w:rsidR="00472F4A">
      <w:instrText xml:space="preserve"> DOCPROPERTY  gdocf  \* MERGEFORMAT </w:instrText>
    </w:r>
    <w:r w:rsidR="00472F4A">
      <w:fldChar w:fldCharType="separate"/>
    </w:r>
    <w:proofErr w:type="spellStart"/>
    <w:r w:rsidRPr="000132BF">
      <w:t>gdocf</w:t>
    </w:r>
    <w:proofErr w:type="spellEnd"/>
    <w:r w:rsidR="00472F4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215BDC" w:rsidRPr="000959CB" w:rsidRDefault="00215BDC" w:rsidP="00215BDC">
      <w:pPr>
        <w:pStyle w:val="FootnoteText1"/>
      </w:pPr>
      <w:r w:rsidRPr="000959CB">
        <w:rPr>
          <w:rtl/>
        </w:rPr>
        <w:t>*</w:t>
      </w:r>
      <w:r w:rsidRPr="000959CB">
        <w:rPr>
          <w:rFonts w:hint="cs"/>
          <w:rtl/>
        </w:rPr>
        <w:tab/>
      </w:r>
      <w:r w:rsidRPr="000959CB">
        <w:rPr>
          <w:rtl/>
          <w:lang w:eastAsia="zh-TW"/>
        </w:rPr>
        <w:t xml:space="preserve">اعتمدتها اللجنة في دورتها </w:t>
      </w:r>
      <w:r w:rsidRPr="000959CB">
        <w:rPr>
          <w:color w:val="FF0000"/>
          <w:rtl/>
          <w:lang w:eastAsia="zh-TW"/>
        </w:rPr>
        <w:t xml:space="preserve">الرقم </w:t>
      </w:r>
      <w:r w:rsidRPr="000959CB">
        <w:rPr>
          <w:rtl/>
          <w:lang w:eastAsia="zh-TW"/>
        </w:rPr>
        <w:t>(</w:t>
      </w:r>
      <w:r w:rsidRPr="000959CB">
        <w:rPr>
          <w:color w:val="FF0000"/>
          <w:rtl/>
          <w:lang w:eastAsia="zh-TW"/>
        </w:rPr>
        <w:t>التواريخ</w:t>
      </w:r>
      <w:r w:rsidRPr="000959CB">
        <w:rPr>
          <w:rtl/>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472F4A"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472F4A">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962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505CF"/>
    <w:rsid w:val="000671EC"/>
    <w:rsid w:val="000A2113"/>
    <w:rsid w:val="000A354B"/>
    <w:rsid w:val="000C196E"/>
    <w:rsid w:val="000D701C"/>
    <w:rsid w:val="000E1A26"/>
    <w:rsid w:val="000E2A71"/>
    <w:rsid w:val="000E4D6C"/>
    <w:rsid w:val="000F5AD2"/>
    <w:rsid w:val="0011410B"/>
    <w:rsid w:val="001467EC"/>
    <w:rsid w:val="00160263"/>
    <w:rsid w:val="00167825"/>
    <w:rsid w:val="00181F96"/>
    <w:rsid w:val="0018231C"/>
    <w:rsid w:val="001A1371"/>
    <w:rsid w:val="001B346A"/>
    <w:rsid w:val="001E1CAD"/>
    <w:rsid w:val="001E290D"/>
    <w:rsid w:val="002144FA"/>
    <w:rsid w:val="00215BDC"/>
    <w:rsid w:val="002234D2"/>
    <w:rsid w:val="0023469A"/>
    <w:rsid w:val="00243C8A"/>
    <w:rsid w:val="00262072"/>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72F4A"/>
    <w:rsid w:val="004908D8"/>
    <w:rsid w:val="00492D24"/>
    <w:rsid w:val="004956DC"/>
    <w:rsid w:val="004B0A1C"/>
    <w:rsid w:val="004D298E"/>
    <w:rsid w:val="0054472E"/>
    <w:rsid w:val="00562315"/>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49E1"/>
    <w:rsid w:val="0090370F"/>
    <w:rsid w:val="009269D2"/>
    <w:rsid w:val="00942135"/>
    <w:rsid w:val="009521B0"/>
    <w:rsid w:val="00981C12"/>
    <w:rsid w:val="00993C68"/>
    <w:rsid w:val="009A7E9F"/>
    <w:rsid w:val="009B1C5D"/>
    <w:rsid w:val="009E1133"/>
    <w:rsid w:val="009E5018"/>
    <w:rsid w:val="009E5456"/>
    <w:rsid w:val="00A04297"/>
    <w:rsid w:val="00A12B37"/>
    <w:rsid w:val="00A34EA8"/>
    <w:rsid w:val="00A473FF"/>
    <w:rsid w:val="00A53B98"/>
    <w:rsid w:val="00A65899"/>
    <w:rsid w:val="00A67AF5"/>
    <w:rsid w:val="00A93D50"/>
    <w:rsid w:val="00A94CA3"/>
    <w:rsid w:val="00AB6758"/>
    <w:rsid w:val="00AD014E"/>
    <w:rsid w:val="00AE40F1"/>
    <w:rsid w:val="00B10943"/>
    <w:rsid w:val="00B13763"/>
    <w:rsid w:val="00B2689A"/>
    <w:rsid w:val="00B477A4"/>
    <w:rsid w:val="00B54045"/>
    <w:rsid w:val="00B75EE3"/>
    <w:rsid w:val="00BF3BEF"/>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6711D"/>
    <w:rsid w:val="00D84435"/>
    <w:rsid w:val="00D914A7"/>
    <w:rsid w:val="00DC1D29"/>
    <w:rsid w:val="00DD13C3"/>
    <w:rsid w:val="00DD596E"/>
    <w:rsid w:val="00DD621E"/>
    <w:rsid w:val="00DF0575"/>
    <w:rsid w:val="00DF15A0"/>
    <w:rsid w:val="00E2424D"/>
    <w:rsid w:val="00E31AD4"/>
    <w:rsid w:val="00E61B92"/>
    <w:rsid w:val="00E70E04"/>
    <w:rsid w:val="00E71938"/>
    <w:rsid w:val="00E76499"/>
    <w:rsid w:val="00EC05A7"/>
    <w:rsid w:val="00EC4B6B"/>
    <w:rsid w:val="00EF1EE5"/>
    <w:rsid w:val="00EF7CF3"/>
    <w:rsid w:val="00F56723"/>
    <w:rsid w:val="00F763B4"/>
    <w:rsid w:val="00F900C3"/>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6257"/>
    <o:shapelayout v:ext="edit">
      <o:idmap v:ext="edit" data="1"/>
    </o:shapelayout>
  </w:shapeDefaults>
  <w:decimalSymbol w:val=","/>
  <w:listSeparator w:val=";"/>
  <w14:docId w14:val="7B10820F"/>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 w:type="paragraph" w:customStyle="1" w:styleId="SingleTxtG">
    <w:name w:val="_ Single Txt_G"/>
    <w:basedOn w:val="Normal"/>
    <w:rsid w:val="00E2424D"/>
    <w:pPr>
      <w:suppressAutoHyphens/>
      <w:bidi w:val="0"/>
      <w:spacing w:after="120"/>
      <w:ind w:left="1134" w:right="1134"/>
      <w:jc w:val="both"/>
    </w:pPr>
    <w:rPr>
      <w:rFonts w:eastAsia="SimSun" w:hAnsiTheme="minorHAnsi" w:hint="cs"/>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989CD-0EAA-43FC-94AB-F5C7C370B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711</Words>
  <Characters>3916</Characters>
  <Application>Microsoft Office Word</Application>
  <DocSecurity>0</DocSecurity>
  <Lines>32</Lines>
  <Paragraphs>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34</cp:revision>
  <cp:lastPrinted>2016-06-21T10:29:00Z</cp:lastPrinted>
  <dcterms:created xsi:type="dcterms:W3CDTF">2018-06-22T08:39:00Z</dcterms:created>
  <dcterms:modified xsi:type="dcterms:W3CDTF">2018-06-25T07:27:00Z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