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AF16FC">
        <w:trPr>
          <w:cantSplit/>
          <w:trHeight w:hRule="exact" w:val="851"/>
        </w:trPr>
        <w:tc>
          <w:tcPr>
            <w:tcW w:w="1276" w:type="dxa"/>
            <w:tcBorders>
              <w:bottom w:val="single" w:sz="4" w:space="0" w:color="auto"/>
            </w:tcBorders>
            <w:vAlign w:val="bottom"/>
          </w:tcPr>
          <w:p w:rsidR="00AF16FC" w:rsidRDefault="00AF16FC">
            <w:pPr>
              <w:spacing w:after="80"/>
            </w:pPr>
          </w:p>
        </w:tc>
        <w:tc>
          <w:tcPr>
            <w:tcW w:w="2268" w:type="dxa"/>
            <w:tcBorders>
              <w:bottom w:val="single" w:sz="4" w:space="0" w:color="auto"/>
            </w:tcBorders>
            <w:vAlign w:val="bottom"/>
          </w:tcPr>
          <w:p w:rsidR="00AF16FC" w:rsidRDefault="00063FA7">
            <w:pPr>
              <w:spacing w:after="80" w:line="300" w:lineRule="exact"/>
              <w:rPr>
                <w:b/>
                <w:sz w:val="24"/>
                <w:szCs w:val="24"/>
              </w:rPr>
            </w:pPr>
            <w:r>
              <w:rPr>
                <w:sz w:val="28"/>
                <w:szCs w:val="28"/>
              </w:rPr>
              <w:t>United Nations</w:t>
            </w:r>
          </w:p>
        </w:tc>
        <w:tc>
          <w:tcPr>
            <w:tcW w:w="6095" w:type="dxa"/>
            <w:gridSpan w:val="2"/>
            <w:tcBorders>
              <w:bottom w:val="single" w:sz="4" w:space="0" w:color="auto"/>
            </w:tcBorders>
            <w:vAlign w:val="bottom"/>
          </w:tcPr>
          <w:p w:rsidR="00AF16FC" w:rsidRDefault="00063FA7">
            <w:pPr>
              <w:suppressAutoHyphens w:val="0"/>
              <w:spacing w:after="20"/>
              <w:jc w:val="right"/>
            </w:pPr>
            <w:r>
              <w:rPr>
                <w:sz w:val="40"/>
              </w:rPr>
              <w:t>CRC</w:t>
            </w:r>
            <w:r>
              <w:t>/</w:t>
            </w:r>
            <w:fldSimple w:instr=" DOCPROPERTY  sym1  \* MERGEFORMAT ">
              <w:r>
                <w:t>sym1</w:t>
              </w:r>
            </w:fldSimple>
          </w:p>
        </w:tc>
      </w:tr>
      <w:tr w:rsidR="00AF16FC">
        <w:trPr>
          <w:cantSplit/>
          <w:trHeight w:hRule="exact" w:val="2835"/>
        </w:trPr>
        <w:tc>
          <w:tcPr>
            <w:tcW w:w="1276" w:type="dxa"/>
            <w:tcBorders>
              <w:top w:val="single" w:sz="4" w:space="0" w:color="auto"/>
              <w:bottom w:val="single" w:sz="12" w:space="0" w:color="auto"/>
            </w:tcBorders>
          </w:tcPr>
          <w:p w:rsidR="00AF16FC" w:rsidRDefault="00063FA7">
            <w:pPr>
              <w:spacing w:before="120"/>
              <w:jc w:val="center"/>
            </w:pPr>
            <w:r>
              <w:rPr>
                <w:noProof/>
                <w:lang w:val="fr-CH" w:eastAsia="fr-CH"/>
              </w:rPr>
              <w:drawing>
                <wp:inline distT="0" distB="0" distL="0" distR="0">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AF16FC" w:rsidRDefault="00063FA7">
            <w:pPr>
              <w:spacing w:before="120" w:line="420" w:lineRule="exact"/>
            </w:pPr>
            <w:r>
              <w:rPr>
                <w:b/>
                <w:sz w:val="40"/>
                <w:szCs w:val="40"/>
              </w:rPr>
              <w:t>Convention on the</w:t>
            </w:r>
            <w:r>
              <w:rPr>
                <w:b/>
                <w:sz w:val="40"/>
                <w:szCs w:val="40"/>
              </w:rPr>
              <w:br/>
              <w:t>Rights of the Child</w:t>
            </w:r>
          </w:p>
        </w:tc>
        <w:tc>
          <w:tcPr>
            <w:tcW w:w="2835" w:type="dxa"/>
            <w:tcBorders>
              <w:top w:val="single" w:sz="4" w:space="0" w:color="auto"/>
              <w:bottom w:val="single" w:sz="12" w:space="0" w:color="auto"/>
            </w:tcBorders>
          </w:tcPr>
          <w:p w:rsidR="00AF16FC" w:rsidRDefault="00063FA7">
            <w:pPr>
              <w:suppressAutoHyphens w:val="0"/>
              <w:spacing w:before="240" w:line="240" w:lineRule="exact"/>
              <w:rPr>
                <w:lang w:val="fr-CH"/>
              </w:rPr>
            </w:pPr>
            <w:r>
              <w:rPr>
                <w:lang w:val="fr-CH"/>
              </w:rPr>
              <w:t xml:space="preserve">Distr.: </w:t>
            </w:r>
            <w:r>
              <w:fldChar w:fldCharType="begin"/>
            </w:r>
            <w:r>
              <w:rPr>
                <w:lang w:val="fr-CH"/>
              </w:rPr>
              <w:instrText xml:space="preserve"> DOCPROPERTY  dist  \* MERGEFORMAT </w:instrText>
            </w:r>
            <w:r>
              <w:fldChar w:fldCharType="separate"/>
            </w:r>
            <w:r>
              <w:rPr>
                <w:lang w:val="fr-CH"/>
              </w:rPr>
              <w:t>Dist</w:t>
            </w:r>
            <w:r>
              <w:fldChar w:fldCharType="end"/>
            </w:r>
          </w:p>
          <w:p w:rsidR="00AF16FC" w:rsidRDefault="00063FA7">
            <w:pPr>
              <w:suppressAutoHyphens w:val="0"/>
              <w:rPr>
                <w:lang w:val="fr-CH"/>
              </w:rPr>
            </w:pPr>
            <w:r>
              <w:fldChar w:fldCharType="begin"/>
            </w:r>
            <w:r>
              <w:rPr>
                <w:lang w:val="fr-CH"/>
              </w:rPr>
              <w:instrText xml:space="preserve"> DOCPROPERTY  date  \* MERGEFORMAT </w:instrText>
            </w:r>
            <w:r>
              <w:fldChar w:fldCharType="separate"/>
            </w:r>
            <w:r>
              <w:rPr>
                <w:lang w:val="fr-CH"/>
              </w:rPr>
              <w:t>date</w:t>
            </w:r>
            <w:r>
              <w:fldChar w:fldCharType="end"/>
            </w:r>
          </w:p>
          <w:p w:rsidR="00AF16FC" w:rsidRDefault="00063FA7">
            <w:pPr>
              <w:suppressAutoHyphens w:val="0"/>
              <w:rPr>
                <w:lang w:val="fr-CH"/>
              </w:rPr>
            </w:pPr>
            <w:r>
              <w:fldChar w:fldCharType="begin"/>
            </w:r>
            <w:r>
              <w:rPr>
                <w:lang w:val="fr-CH"/>
              </w:rPr>
              <w:instrText xml:space="preserve"> DOCPROPERTY  tlang  \* MERGEFORMAT </w:instrText>
            </w:r>
            <w:r>
              <w:fldChar w:fldCharType="separate"/>
            </w:r>
            <w:r>
              <w:rPr>
                <w:lang w:val="fr-CH"/>
              </w:rPr>
              <w:t>tlang</w:t>
            </w:r>
            <w:r>
              <w:fldChar w:fldCharType="end"/>
            </w:r>
          </w:p>
          <w:p w:rsidR="00AF16FC" w:rsidRDefault="00063FA7">
            <w:pPr>
              <w:suppressAutoHyphens w:val="0"/>
              <w:rPr>
                <w:lang w:val="fr-CH"/>
              </w:rPr>
            </w:pPr>
            <w:r>
              <w:rPr>
                <w:lang w:val="fr-CH"/>
              </w:rPr>
              <w:t xml:space="preserve">Original: </w:t>
            </w:r>
            <w:r>
              <w:fldChar w:fldCharType="begin"/>
            </w:r>
            <w:r>
              <w:rPr>
                <w:lang w:val="fr-CH"/>
              </w:rPr>
              <w:instrText xml:space="preserve"> DOCPROPERTY  olang  \* MERGEFORMAT </w:instrText>
            </w:r>
            <w:r>
              <w:fldChar w:fldCharType="separate"/>
            </w:r>
            <w:r>
              <w:rPr>
                <w:lang w:val="fr-CH"/>
              </w:rPr>
              <w:t>olang</w:t>
            </w:r>
            <w:r>
              <w:fldChar w:fldCharType="end"/>
            </w:r>
          </w:p>
          <w:p w:rsidR="00AF16FC" w:rsidRDefault="00063FA7">
            <w:pPr>
              <w:suppressAutoHyphens w:val="0"/>
              <w:rPr>
                <w:lang w:val="fr-CH"/>
              </w:rPr>
            </w:pPr>
            <w:r>
              <w:fldChar w:fldCharType="begin"/>
            </w:r>
            <w:r>
              <w:rPr>
                <w:lang w:val="fr-CH"/>
              </w:rPr>
              <w:instrText xml:space="preserve"> DOCPROPERTY  virs  \* MERGEFORMAT </w:instrText>
            </w:r>
            <w:r>
              <w:fldChar w:fldCharType="separate"/>
            </w:r>
            <w:r>
              <w:rPr>
                <w:lang w:val="fr-CH"/>
              </w:rPr>
              <w:t>virs</w:t>
            </w:r>
            <w:r>
              <w:fldChar w:fldCharType="end"/>
            </w:r>
          </w:p>
        </w:tc>
      </w:tr>
    </w:tbl>
    <w:p w:rsidR="00AF16FC" w:rsidRDefault="00063FA7">
      <w:pPr>
        <w:spacing w:before="120"/>
        <w:rPr>
          <w:b/>
          <w:sz w:val="24"/>
        </w:rPr>
      </w:pPr>
      <w:r>
        <w:rPr>
          <w:b/>
          <w:sz w:val="24"/>
        </w:rPr>
        <w:t>Committee on the Rights of the Child</w:t>
      </w:r>
    </w:p>
    <w:p w:rsidR="00AF16FC" w:rsidRDefault="00063FA7">
      <w:pPr>
        <w:pStyle w:val="HChG"/>
      </w:pPr>
      <w:r>
        <w:tab/>
      </w:r>
      <w:r>
        <w:tab/>
        <w:t xml:space="preserve">Concluding observations on the </w:t>
      </w:r>
      <w:fldSimple w:instr=" DOCPROPERTY  prep  \* MERGEFORMAT ">
        <w:r>
          <w:t>prep</w:t>
        </w:r>
      </w:fldSimple>
      <w:r>
        <w:rPr>
          <w:rStyle w:val="Refdenotaalpie"/>
          <w:b w:val="0"/>
          <w:sz w:val="20"/>
          <w:vertAlign w:val="baseline"/>
        </w:rPr>
        <w:footnoteReference w:customMarkFollows="1" w:id="2"/>
        <w:t>*</w:t>
      </w:r>
    </w:p>
    <w:p w:rsidR="00AF16FC" w:rsidRDefault="00063FA7">
      <w:pPr>
        <w:pStyle w:val="HChG"/>
      </w:pPr>
      <w:r>
        <w:tab/>
        <w:t>I.</w:t>
      </w:r>
      <w:r>
        <w:tab/>
        <w:t>Introduction</w:t>
      </w:r>
    </w:p>
    <w:p w:rsidR="00AF16FC" w:rsidRDefault="00063FA7">
      <w:pPr>
        <w:pStyle w:val="SingleTxtG"/>
      </w:pPr>
      <w:r>
        <w:t>1.</w:t>
      </w:r>
      <w:r>
        <w:tab/>
        <w:t xml:space="preserve">The Committee considered </w:t>
      </w:r>
      <w:r>
        <w:rPr>
          <w:color w:val="FF0000"/>
        </w:rPr>
        <w:t>the [initial] [combined number periodic] [number periodic]</w:t>
      </w:r>
      <w:r>
        <w:t xml:space="preserve"> report</w:t>
      </w:r>
      <w:r>
        <w:rPr>
          <w:color w:val="FF0000"/>
        </w:rPr>
        <w:t>s</w:t>
      </w:r>
      <w:r>
        <w:t xml:space="preserve"> of </w:t>
      </w:r>
      <w:r>
        <w:rPr>
          <w:color w:val="FF0000"/>
        </w:rPr>
        <w:t xml:space="preserve">country </w:t>
      </w:r>
      <w:r>
        <w:t>(CRC/C/</w:t>
      </w:r>
      <w:r>
        <w:rPr>
          <w:color w:val="FF0000"/>
        </w:rPr>
        <w:t>XXX</w:t>
      </w:r>
      <w:r>
        <w:t>/</w:t>
      </w:r>
      <w:r>
        <w:rPr>
          <w:color w:val="FF0000"/>
        </w:rPr>
        <w:t>Y</w:t>
      </w:r>
      <w:r>
        <w:t xml:space="preserve">) at its </w:t>
      </w:r>
      <w:r>
        <w:rPr>
          <w:color w:val="FF0000"/>
        </w:rPr>
        <w:t xml:space="preserve">number </w:t>
      </w:r>
      <w:r>
        <w:t xml:space="preserve">and </w:t>
      </w:r>
      <w:r>
        <w:rPr>
          <w:color w:val="FF0000"/>
        </w:rPr>
        <w:t>number</w:t>
      </w:r>
      <w:r>
        <w:t xml:space="preserve"> meetings (see CRC/C/SR.</w:t>
      </w:r>
      <w:r>
        <w:rPr>
          <w:color w:val="FF0000"/>
        </w:rPr>
        <w:t>XXX</w:t>
      </w:r>
      <w:r>
        <w:t xml:space="preserve"> and </w:t>
      </w:r>
      <w:r>
        <w:rPr>
          <w:color w:val="FF0000"/>
        </w:rPr>
        <w:t>XXX</w:t>
      </w:r>
      <w:r>
        <w:t xml:space="preserve">), held on </w:t>
      </w:r>
      <w:r>
        <w:rPr>
          <w:color w:val="FF0000"/>
        </w:rPr>
        <w:t>date</w:t>
      </w:r>
      <w:r>
        <w:t xml:space="preserve"> and </w:t>
      </w:r>
      <w:r>
        <w:rPr>
          <w:color w:val="FF0000"/>
        </w:rPr>
        <w:t>date</w:t>
      </w:r>
      <w:r>
        <w:t xml:space="preserve">, and adopted the present concluding observations at its </w:t>
      </w:r>
      <w:r>
        <w:rPr>
          <w:color w:val="FF0000"/>
        </w:rPr>
        <w:t>number</w:t>
      </w:r>
      <w:r>
        <w:t xml:space="preserve"> meeting, held on </w:t>
      </w:r>
      <w:r>
        <w:rPr>
          <w:color w:val="FF0000"/>
        </w:rPr>
        <w:t>date</w:t>
      </w:r>
      <w:r>
        <w:t xml:space="preserve">. </w:t>
      </w:r>
    </w:p>
    <w:p w:rsidR="00AF16FC" w:rsidRDefault="00063FA7">
      <w:pPr>
        <w:pStyle w:val="SingleTxtG"/>
      </w:pPr>
      <w:r>
        <w:t>2.</w:t>
      </w:r>
      <w:r>
        <w:tab/>
        <w:t xml:space="preserve">The Committee welcomes the submission of the </w:t>
      </w:r>
      <w:r>
        <w:rPr>
          <w:color w:val="FF0000"/>
        </w:rPr>
        <w:t>[initial] [combined number periodic] [number periodic]</w:t>
      </w:r>
      <w:r>
        <w:t xml:space="preserve"> report</w:t>
      </w:r>
      <w:r>
        <w:rPr>
          <w:color w:val="FF0000"/>
        </w:rPr>
        <w:t>s</w:t>
      </w:r>
      <w:r>
        <w:t xml:space="preserve"> of the State party and the written replies to the list of issues (CRC/C/</w:t>
      </w:r>
      <w:r>
        <w:rPr>
          <w:color w:val="FF0000"/>
        </w:rPr>
        <w:t>XXX</w:t>
      </w:r>
      <w:r>
        <w:t>/Q/</w:t>
      </w:r>
      <w:r>
        <w:rPr>
          <w:color w:val="FF0000"/>
        </w:rPr>
        <w:t>Y</w:t>
      </w:r>
      <w:r>
        <w:t xml:space="preserve">/Add.1), which allowed for a better understanding of the situation of children’s rights in the State party. The Committee expresses appreciation for the constructive dialogue held with the </w:t>
      </w:r>
      <w:r>
        <w:rPr>
          <w:color w:val="FF0000"/>
        </w:rPr>
        <w:t xml:space="preserve">[multisectoral] [high-level] </w:t>
      </w:r>
      <w:r>
        <w:t xml:space="preserve">delegation of the State party. </w:t>
      </w:r>
    </w:p>
    <w:p w:rsidR="00AF16FC" w:rsidRDefault="00063FA7">
      <w:pPr>
        <w:pStyle w:val="HChG"/>
      </w:pPr>
      <w:r>
        <w:tab/>
        <w:t>II.</w:t>
      </w:r>
      <w:r>
        <w:tab/>
        <w:t>Follow-up measures taken and progress achieved by the State party</w:t>
      </w:r>
    </w:p>
    <w:p w:rsidR="00AF16FC" w:rsidRDefault="00063FA7">
      <w:pPr>
        <w:pStyle w:val="SingleTxtG"/>
      </w:pPr>
      <w:r>
        <w:t>3.</w:t>
      </w:r>
      <w:r>
        <w:tab/>
        <w:t>The Committee welcomes the ratification of or accession to the following instruments:</w:t>
      </w:r>
    </w:p>
    <w:p w:rsidR="00AF16FC" w:rsidRDefault="00063FA7" w:rsidP="0040367D">
      <w:pPr>
        <w:pStyle w:val="SingleTxtG"/>
        <w:ind w:firstLine="567"/>
      </w:pPr>
      <w:r>
        <w:t>(a)</w:t>
      </w:r>
      <w:r>
        <w:tab/>
        <w:t xml:space="preserve">The </w:t>
      </w:r>
      <w:r>
        <w:rPr>
          <w:color w:val="FF0000"/>
        </w:rPr>
        <w:t>…</w:t>
      </w:r>
      <w:r>
        <w:t xml:space="preserve">, in </w:t>
      </w:r>
      <w:r>
        <w:rPr>
          <w:color w:val="FF0000"/>
        </w:rPr>
        <w:t>year</w:t>
      </w:r>
      <w:r>
        <w:t>;</w:t>
      </w:r>
    </w:p>
    <w:p w:rsidR="00AF16FC" w:rsidRDefault="00063FA7" w:rsidP="00063FA7">
      <w:pPr>
        <w:pStyle w:val="SingleTxtG"/>
        <w:ind w:firstLine="567"/>
      </w:pPr>
      <w:r>
        <w:t>(b)</w:t>
      </w:r>
      <w:r>
        <w:tab/>
        <w:t xml:space="preserve">The </w:t>
      </w:r>
      <w:r>
        <w:rPr>
          <w:color w:val="FF0000"/>
        </w:rPr>
        <w:t>…</w:t>
      </w:r>
      <w:r>
        <w:t xml:space="preserve">, on </w:t>
      </w:r>
      <w:r>
        <w:rPr>
          <w:color w:val="FF0000"/>
        </w:rPr>
        <w:t>date</w:t>
      </w:r>
      <w:r>
        <w:t>;</w:t>
      </w:r>
    </w:p>
    <w:p w:rsidR="00AF16FC" w:rsidRDefault="00063FA7" w:rsidP="00063FA7">
      <w:pPr>
        <w:pStyle w:val="SingleTxtG"/>
        <w:ind w:firstLine="567"/>
      </w:pPr>
      <w:r>
        <w:t>(c)</w:t>
      </w:r>
      <w:r>
        <w:tab/>
      </w:r>
      <w:r>
        <w:rPr>
          <w:color w:val="FF0000"/>
        </w:rPr>
        <w:t>…</w:t>
      </w:r>
      <w:r>
        <w:t>.</w:t>
      </w:r>
    </w:p>
    <w:p w:rsidR="00AF16FC" w:rsidRDefault="00063FA7">
      <w:pPr>
        <w:pStyle w:val="HChG"/>
      </w:pPr>
      <w:r>
        <w:tab/>
        <w:t>III.</w:t>
      </w:r>
      <w:r>
        <w:tab/>
        <w:t xml:space="preserve">Factors and difficulties impeding the implementation of the Convention </w:t>
      </w:r>
      <w:r>
        <w:rPr>
          <w:highlight w:val="yellow"/>
        </w:rPr>
        <w:t>[[Not always included. Renumber subsequent headings as appropriate.]]</w:t>
      </w:r>
    </w:p>
    <w:p w:rsidR="00AF16FC" w:rsidRDefault="00063FA7">
      <w:pPr>
        <w:pStyle w:val="HChG"/>
      </w:pPr>
      <w:r>
        <w:tab/>
        <w:t>IV.</w:t>
      </w:r>
      <w:r>
        <w:tab/>
        <w:t>Main areas of concern and recommendations</w:t>
      </w:r>
    </w:p>
    <w:p w:rsidR="00AF16FC" w:rsidRDefault="00063FA7">
      <w:pPr>
        <w:pStyle w:val="SingleTxtG"/>
      </w:pPr>
      <w:r>
        <w:t>4.</w:t>
      </w:r>
      <w:r>
        <w:tab/>
        <w:t xml:space="preserve">The Committee reminds the State party of the indivisibility and interdependence of all the rights enshrined in the Convention and emphasizes the importance of all the recommendations contained in the present concluding observations. The Committee would like to draw the State party’s attention to the recommendations concerning the following </w:t>
      </w:r>
      <w:r>
        <w:lastRenderedPageBreak/>
        <w:t xml:space="preserve">areas, in respect of which urgent measures must be taken: </w:t>
      </w:r>
      <w:r>
        <w:rPr>
          <w:highlight w:val="yellow"/>
        </w:rPr>
        <w:t>[[Areas vary]]</w:t>
      </w:r>
      <w:r>
        <w:t xml:space="preserve"> the definition of the child, especially in relation to child marriage (para. </w:t>
      </w:r>
      <w:r>
        <w:rPr>
          <w:color w:val="FF0000"/>
        </w:rPr>
        <w:t>XX</w:t>
      </w:r>
      <w:r>
        <w:t xml:space="preserve">), non-discrimination (paras. </w:t>
      </w:r>
      <w:r>
        <w:rPr>
          <w:color w:val="FF0000"/>
        </w:rPr>
        <w:t>XX</w:t>
      </w:r>
      <w:r>
        <w:t xml:space="preserve"> and </w:t>
      </w:r>
      <w:r>
        <w:rPr>
          <w:color w:val="FF0000"/>
        </w:rPr>
        <w:t>XX</w:t>
      </w:r>
      <w:r>
        <w:t xml:space="preserve">), the right to life, survival and development (para. </w:t>
      </w:r>
      <w:r>
        <w:rPr>
          <w:color w:val="FF0000"/>
        </w:rPr>
        <w:t>XX</w:t>
      </w:r>
      <w:r>
        <w:t xml:space="preserve">), torture and ill-treatment (para. </w:t>
      </w:r>
      <w:r>
        <w:rPr>
          <w:color w:val="FF0000"/>
        </w:rPr>
        <w:t>XX</w:t>
      </w:r>
      <w:r>
        <w:t xml:space="preserve">), children in armed conflict (para. </w:t>
      </w:r>
      <w:r>
        <w:rPr>
          <w:color w:val="FF0000"/>
        </w:rPr>
        <w:t>XX</w:t>
      </w:r>
      <w:r>
        <w:t xml:space="preserve">) and juvenile justice (para. </w:t>
      </w:r>
      <w:r>
        <w:rPr>
          <w:color w:val="FF0000"/>
        </w:rPr>
        <w:t>XX</w:t>
      </w:r>
      <w:r>
        <w:t>).</w:t>
      </w:r>
    </w:p>
    <w:p w:rsidR="00AF16FC" w:rsidRDefault="00063FA7">
      <w:pPr>
        <w:pStyle w:val="H1G"/>
      </w:pPr>
      <w:r>
        <w:tab/>
        <w:t>A.</w:t>
      </w:r>
      <w:r>
        <w:tab/>
        <w:t>General measures of implementation (arts. 4, 42 and 44 (6))</w:t>
      </w:r>
    </w:p>
    <w:p w:rsidR="00AF16FC" w:rsidRDefault="00063FA7">
      <w:pPr>
        <w:pStyle w:val="H1G"/>
      </w:pPr>
      <w:r>
        <w:tab/>
        <w:t>B.</w:t>
      </w:r>
      <w:r>
        <w:tab/>
        <w:t xml:space="preserve">Definition of the child (art. 1) </w:t>
      </w:r>
    </w:p>
    <w:p w:rsidR="00AF16FC" w:rsidRDefault="00063FA7">
      <w:pPr>
        <w:pStyle w:val="H1G"/>
      </w:pPr>
      <w:r>
        <w:tab/>
        <w:t>C.</w:t>
      </w:r>
      <w:r>
        <w:tab/>
        <w:t>General principles (arts. 2, 3, 6 and 12)</w:t>
      </w:r>
    </w:p>
    <w:p w:rsidR="00AF16FC" w:rsidRDefault="00063FA7">
      <w:pPr>
        <w:pStyle w:val="H1G"/>
      </w:pPr>
      <w:r>
        <w:tab/>
        <w:t>D.</w:t>
      </w:r>
      <w:r>
        <w:tab/>
        <w:t>Civil rights and freedoms (arts. 7, 8 and 13-17)</w:t>
      </w:r>
    </w:p>
    <w:p w:rsidR="00AF16FC" w:rsidRDefault="00063FA7">
      <w:pPr>
        <w:pStyle w:val="H1G"/>
      </w:pPr>
      <w:r>
        <w:tab/>
        <w:t>E.</w:t>
      </w:r>
      <w:r>
        <w:tab/>
        <w:t>Violence against children (arts. 19, 24 (3), 28 (2), 34, 37 (a) and 39)</w:t>
      </w:r>
    </w:p>
    <w:p w:rsidR="00AF16FC" w:rsidRDefault="00063FA7">
      <w:pPr>
        <w:pStyle w:val="H1G"/>
      </w:pPr>
      <w:r>
        <w:tab/>
        <w:t>F.</w:t>
      </w:r>
      <w:r>
        <w:tab/>
        <w:t>Family environment and alternative care (arts. 5, 9-11, 18 (1) and (2), 20, 21, 25 and 27 (4))</w:t>
      </w:r>
    </w:p>
    <w:p w:rsidR="00AF16FC" w:rsidRDefault="00063FA7">
      <w:pPr>
        <w:pStyle w:val="H1G"/>
      </w:pPr>
      <w:r>
        <w:tab/>
        <w:t>G.</w:t>
      </w:r>
      <w:r>
        <w:tab/>
        <w:t>Disability, basic health and welfare (arts. 6, 18 (3), 23, 24, 26, 27 (1)-(3) and 33)</w:t>
      </w:r>
    </w:p>
    <w:p w:rsidR="00AF16FC" w:rsidRDefault="00063FA7">
      <w:pPr>
        <w:pStyle w:val="H1G"/>
      </w:pPr>
      <w:r>
        <w:tab/>
        <w:t>H.</w:t>
      </w:r>
      <w:r>
        <w:tab/>
        <w:t>Education, leisure and cultural activities (arts. 28-31)</w:t>
      </w:r>
    </w:p>
    <w:p w:rsidR="00AF16FC" w:rsidRDefault="00063FA7">
      <w:pPr>
        <w:pStyle w:val="H1G"/>
      </w:pPr>
      <w:r>
        <w:tab/>
        <w:t>I.</w:t>
      </w:r>
      <w:r>
        <w:tab/>
        <w:t>Special protection measures (arts. 22, 30, 32, 33, 35, 36, 37 (b)-(d) and 38-40)</w:t>
      </w:r>
    </w:p>
    <w:p w:rsidR="00AF16FC" w:rsidRDefault="00063FA7">
      <w:pPr>
        <w:pStyle w:val="H1G"/>
      </w:pPr>
      <w:r>
        <w:tab/>
        <w:t>J.</w:t>
      </w:r>
      <w:r>
        <w:tab/>
        <w:t xml:space="preserve">Ratification of the </w:t>
      </w:r>
      <w:r>
        <w:rPr>
          <w:color w:val="FF0000"/>
        </w:rPr>
        <w:t>[Optional Protocol to the Convention on a communications procedure] [Optional Protocols to the Convention]</w:t>
      </w:r>
    </w:p>
    <w:p w:rsidR="00AF16FC" w:rsidRDefault="00063FA7">
      <w:pPr>
        <w:pStyle w:val="SingleTxtG"/>
        <w:rPr>
          <w:b/>
        </w:rPr>
      </w:pPr>
      <w:r>
        <w:t>5.</w:t>
      </w:r>
      <w:r>
        <w:tab/>
      </w:r>
      <w:r>
        <w:rPr>
          <w:b/>
        </w:rPr>
        <w:t xml:space="preserve">The Committee recommends that the State party, in order to further strengthen the fulfilment of children’s rights, ratify the </w:t>
      </w:r>
      <w:r>
        <w:rPr>
          <w:b/>
          <w:color w:val="FF0000"/>
        </w:rPr>
        <w:t>[Optional Protocol to the Convention on a communications procedure] [the Optional Protocols to the Convention on the involvement of children in armed conflict, on the sale of children, child prostitution and child pornography and on a communications procedure]</w:t>
      </w:r>
      <w:r>
        <w:rPr>
          <w:b/>
        </w:rPr>
        <w:t xml:space="preserve">. </w:t>
      </w:r>
    </w:p>
    <w:p w:rsidR="00AF16FC" w:rsidRDefault="00063FA7">
      <w:pPr>
        <w:pStyle w:val="H1G"/>
      </w:pPr>
      <w:r>
        <w:tab/>
        <w:t>K.</w:t>
      </w:r>
      <w:r>
        <w:tab/>
        <w:t>Ratification of international human rights instruments</w:t>
      </w:r>
    </w:p>
    <w:p w:rsidR="00AF16FC" w:rsidRDefault="00063FA7">
      <w:pPr>
        <w:pStyle w:val="SingleTxtG"/>
        <w:rPr>
          <w:b/>
        </w:rPr>
      </w:pPr>
      <w:r>
        <w:t>6.</w:t>
      </w:r>
      <w:r>
        <w:tab/>
      </w:r>
      <w:r>
        <w:rPr>
          <w:b/>
        </w:rPr>
        <w:t xml:space="preserve">The Committee recommends that the State party, in order to further strengthen the fulfilment of children’s rights, </w:t>
      </w:r>
      <w:r>
        <w:rPr>
          <w:b/>
          <w:color w:val="FF0000"/>
        </w:rPr>
        <w:t xml:space="preserve">[ratify] [consider ratifying] </w:t>
      </w:r>
      <w:r>
        <w:rPr>
          <w:b/>
        </w:rPr>
        <w:t>the following core human rights instruments to which it is not yet a party:</w:t>
      </w:r>
    </w:p>
    <w:p w:rsidR="00AF16FC" w:rsidRDefault="00063FA7" w:rsidP="00063FA7">
      <w:pPr>
        <w:pStyle w:val="SingleTxtG"/>
        <w:ind w:firstLine="567"/>
      </w:pPr>
      <w:r>
        <w:t>(a)</w:t>
      </w:r>
      <w:r>
        <w:tab/>
      </w:r>
      <w:r>
        <w:rPr>
          <w:b/>
          <w:color w:val="FF0000"/>
        </w:rPr>
        <w:t>…</w:t>
      </w:r>
      <w:r>
        <w:t>;</w:t>
      </w:r>
    </w:p>
    <w:p w:rsidR="00AF16FC" w:rsidRDefault="00063FA7" w:rsidP="00063FA7">
      <w:pPr>
        <w:pStyle w:val="SingleTxtG"/>
        <w:ind w:firstLine="567"/>
      </w:pPr>
      <w:r>
        <w:t>(b)</w:t>
      </w:r>
      <w:r>
        <w:tab/>
      </w:r>
      <w:r>
        <w:rPr>
          <w:b/>
          <w:color w:val="FF0000"/>
        </w:rPr>
        <w:t>…</w:t>
      </w:r>
      <w:r>
        <w:t>;</w:t>
      </w:r>
    </w:p>
    <w:p w:rsidR="00AF16FC" w:rsidRDefault="00063FA7" w:rsidP="00063FA7">
      <w:pPr>
        <w:pStyle w:val="SingleTxtG"/>
        <w:ind w:firstLine="567"/>
      </w:pPr>
      <w:r>
        <w:t>(c)</w:t>
      </w:r>
      <w:r>
        <w:tab/>
      </w:r>
      <w:r>
        <w:rPr>
          <w:b/>
          <w:color w:val="FF0000"/>
        </w:rPr>
        <w:t>…</w:t>
      </w:r>
      <w:r>
        <w:t xml:space="preserve">. </w:t>
      </w:r>
    </w:p>
    <w:p w:rsidR="00AF16FC" w:rsidRDefault="00063FA7">
      <w:pPr>
        <w:pStyle w:val="H1G"/>
      </w:pPr>
      <w:r>
        <w:tab/>
        <w:t>L.</w:t>
      </w:r>
      <w:r>
        <w:tab/>
      </w:r>
      <w:r>
        <w:rPr>
          <w:color w:val="FF0000"/>
        </w:rPr>
        <w:t>[Cooperation with regional bodies] [Cooperation with international bodies] [Cooperation with regional and international bodies]</w:t>
      </w:r>
    </w:p>
    <w:p w:rsidR="00AF16FC" w:rsidRDefault="00063FA7">
      <w:pPr>
        <w:pStyle w:val="SingleTxtG"/>
      </w:pPr>
      <w:r>
        <w:t>7.</w:t>
      </w:r>
      <w:r>
        <w:tab/>
      </w:r>
      <w:r>
        <w:rPr>
          <w:b/>
        </w:rPr>
        <w:t>The Committee recommends that the State party cooperate with….</w:t>
      </w:r>
    </w:p>
    <w:p w:rsidR="00AF16FC" w:rsidRDefault="00063FA7">
      <w:pPr>
        <w:pStyle w:val="HChG"/>
      </w:pPr>
      <w:bookmarkStart w:id="0" w:name="_GoBack"/>
      <w:bookmarkEnd w:id="0"/>
      <w:r>
        <w:lastRenderedPageBreak/>
        <w:tab/>
        <w:t>V.</w:t>
      </w:r>
      <w:r>
        <w:tab/>
        <w:t>Implementation and reporting</w:t>
      </w:r>
    </w:p>
    <w:p w:rsidR="00AF16FC" w:rsidRDefault="00063FA7">
      <w:pPr>
        <w:pStyle w:val="H1G"/>
      </w:pPr>
      <w:r>
        <w:tab/>
        <w:t>A.</w:t>
      </w:r>
      <w:r>
        <w:tab/>
        <w:t>Follow-up and dissemination</w:t>
      </w:r>
    </w:p>
    <w:p w:rsidR="00AF16FC" w:rsidRDefault="00063FA7">
      <w:pPr>
        <w:pStyle w:val="SingleTxtG"/>
        <w:rPr>
          <w:b/>
        </w:rPr>
      </w:pPr>
      <w:r>
        <w:t>8.</w:t>
      </w:r>
      <w:r>
        <w:tab/>
      </w:r>
      <w:r>
        <w:rPr>
          <w:b/>
        </w:rPr>
        <w:t xml:space="preserve">The Committee recommends that the State party take all appropriate measures to ensure that the recommendations contained in the present concluding observations are fully implemented. The Committee also recommends that the </w:t>
      </w:r>
      <w:r>
        <w:rPr>
          <w:b/>
          <w:color w:val="FF0000"/>
        </w:rPr>
        <w:t>[initial] [combined number periodic] [number periodic]</w:t>
      </w:r>
      <w:r>
        <w:rPr>
          <w:b/>
        </w:rPr>
        <w:t xml:space="preserve"> report</w:t>
      </w:r>
      <w:r>
        <w:rPr>
          <w:b/>
          <w:color w:val="FF0000"/>
        </w:rPr>
        <w:t>s</w:t>
      </w:r>
      <w:r>
        <w:rPr>
          <w:b/>
        </w:rPr>
        <w:t xml:space="preserve">, the written replies to the list of issues and the present concluding observations be made widely available in the languages of the country. </w:t>
      </w:r>
      <w:r>
        <w:rPr>
          <w:b/>
          <w:highlight w:val="yellow"/>
        </w:rPr>
        <w:t>[[While this language appears in all concluding observations, additional language might be included and set out in separate paragraphs.]]</w:t>
      </w:r>
    </w:p>
    <w:p w:rsidR="00AF16FC" w:rsidRDefault="00063FA7">
      <w:pPr>
        <w:pStyle w:val="H1G"/>
      </w:pPr>
      <w:r>
        <w:tab/>
        <w:t>B.</w:t>
      </w:r>
      <w:r>
        <w:tab/>
        <w:t xml:space="preserve">National mechanism for reporting and follow-up </w:t>
      </w:r>
      <w:r>
        <w:rPr>
          <w:highlight w:val="yellow"/>
        </w:rPr>
        <w:t>[[Not always included]]</w:t>
      </w:r>
    </w:p>
    <w:p w:rsidR="00AF16FC" w:rsidRDefault="00063FA7">
      <w:pPr>
        <w:pStyle w:val="SingleTxtG"/>
        <w:rPr>
          <w:b/>
        </w:rPr>
      </w:pPr>
      <w:r>
        <w:t>9.</w:t>
      </w:r>
      <w:r>
        <w:tab/>
      </w:r>
      <w:r>
        <w:rPr>
          <w:b/>
        </w:rPr>
        <w:t>The Committee recommends that the State party establish a national mechanism for reporting and follow-up as a standing government structure that is mandated with coordinating and preparing reports to and engaging with international and regional human rights mechanisms, as well as with coordinating and tracking national follow-up to and implementation of treaty obligations and the recommendations and decisions emanating from such mechanisms. The Committee emphasizes that such a structure should be adequately and continuously supported by dedicated staff and should have the capacity to consult systematically with the national human rights institution and civil society.</w:t>
      </w:r>
    </w:p>
    <w:p w:rsidR="00AF16FC" w:rsidRDefault="00063FA7">
      <w:pPr>
        <w:pStyle w:val="H1G"/>
      </w:pPr>
      <w:r>
        <w:tab/>
        <w:t>C.</w:t>
      </w:r>
      <w:r>
        <w:tab/>
        <w:t xml:space="preserve">Next report </w:t>
      </w:r>
    </w:p>
    <w:p w:rsidR="00AF16FC" w:rsidRDefault="00063FA7">
      <w:pPr>
        <w:pStyle w:val="SingleTxtG"/>
        <w:rPr>
          <w:b/>
        </w:rPr>
      </w:pPr>
      <w:r>
        <w:t>10.</w:t>
      </w:r>
      <w:r>
        <w:tab/>
      </w:r>
      <w:r>
        <w:rPr>
          <w:b/>
        </w:rPr>
        <w:t xml:space="preserve">The Committee invites the State party to submit its </w:t>
      </w:r>
      <w:r>
        <w:rPr>
          <w:b/>
          <w:color w:val="FF0000"/>
        </w:rPr>
        <w:t xml:space="preserve">[combined number periodic] [number periodic] </w:t>
      </w:r>
      <w:r>
        <w:rPr>
          <w:b/>
        </w:rPr>
        <w:t>report</w:t>
      </w:r>
      <w:r>
        <w:rPr>
          <w:b/>
          <w:color w:val="FF0000"/>
        </w:rPr>
        <w:t>s</w:t>
      </w:r>
      <w:r>
        <w:rPr>
          <w:b/>
        </w:rPr>
        <w:t xml:space="preserve"> by </w:t>
      </w:r>
      <w:r>
        <w:rPr>
          <w:b/>
          <w:color w:val="FF0000"/>
        </w:rPr>
        <w:t>date</w:t>
      </w:r>
      <w:r>
        <w:rPr>
          <w:b/>
        </w:rPr>
        <w:t xml:space="preserve"> and to include therein information on the follow-up to the present concluding observations. The report should be in compliance with the Committee’s harmonized treaty-specific reporting guidelines adopted on 31 January 2014 (CRC/C/58/Rev.3) and should not exceed 21,200 words (see General Assembly resolution 68/268, para. 16). In the event that a report exceeding the established word limit is submitted, the State party will be asked to shorten the report in accordance with the above-mentioned resolution. If the State party is not in a position to review and resubmit the report, translation thereof for the purposes of consideration by the treaty body cannot be guaranteed. </w:t>
      </w:r>
    </w:p>
    <w:p w:rsidR="00AF16FC" w:rsidRDefault="00063FA7">
      <w:pPr>
        <w:pStyle w:val="SingleTxtG"/>
        <w:rPr>
          <w:b/>
        </w:rPr>
      </w:pPr>
      <w:r>
        <w:t>11.</w:t>
      </w:r>
      <w:r>
        <w:tab/>
      </w:r>
      <w:r>
        <w:rPr>
          <w:b/>
        </w:rPr>
        <w:t>The Committee also invites the State party to submit an updated core document, not exceeding 42,400 words, in accordance with the requirements for the common core document contained in the harmonized guidelines on reporting under the international human rights treaties, including guidelines on a common core document and treaty-specific documents (see HRI/GEN/2/Rev.6, chap. I) and paragraph 16 of General Assembly resolution 68/268.</w:t>
      </w:r>
    </w:p>
    <w:p w:rsidR="00AF16FC" w:rsidRDefault="00063FA7">
      <w:pPr>
        <w:spacing w:before="240"/>
        <w:jc w:val="center"/>
        <w:rPr>
          <w:u w:val="single"/>
        </w:rPr>
      </w:pPr>
      <w:r>
        <w:rPr>
          <w:u w:val="single"/>
        </w:rPr>
        <w:tab/>
      </w:r>
      <w:r>
        <w:rPr>
          <w:u w:val="single"/>
        </w:rPr>
        <w:tab/>
      </w:r>
      <w:r>
        <w:rPr>
          <w:u w:val="single"/>
        </w:rPr>
        <w:tab/>
      </w:r>
    </w:p>
    <w:sectPr w:rsidR="00AF16FC">
      <w:headerReference w:type="even" r:id="rId9"/>
      <w:headerReference w:type="default" r:id="rId10"/>
      <w:footerReference w:type="even" r:id="rId11"/>
      <w:footerReference w:type="default" r:id="rId12"/>
      <w:headerReference w:type="first" r:id="rId13"/>
      <w:footerReference w:type="first" r:id="rId14"/>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16FC" w:rsidRDefault="00AF16FC"/>
  </w:endnote>
  <w:endnote w:type="continuationSeparator" w:id="0">
    <w:p w:rsidR="00AF16FC" w:rsidRDefault="00AF16FC">
      <w:pPr>
        <w:pStyle w:val="Piedepgina"/>
      </w:pPr>
    </w:p>
  </w:endnote>
  <w:endnote w:type="continuationNotice" w:id="1">
    <w:p w:rsidR="00AF16FC" w:rsidRDefault="00AF16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16FC" w:rsidRDefault="00063FA7">
    <w:pPr>
      <w:pStyle w:val="Piedepgina"/>
      <w:tabs>
        <w:tab w:val="right" w:pos="9639"/>
      </w:tabs>
    </w:pPr>
    <w:r>
      <w:rPr>
        <w:b/>
        <w:sz w:val="18"/>
      </w:rPr>
      <w:fldChar w:fldCharType="begin"/>
    </w:r>
    <w:r>
      <w:rPr>
        <w:b/>
        <w:sz w:val="18"/>
      </w:rPr>
      <w:instrText xml:space="preserve"> PAGE  \* MERGEFORMAT </w:instrText>
    </w:r>
    <w:r>
      <w:rPr>
        <w:b/>
        <w:sz w:val="18"/>
      </w:rPr>
      <w:fldChar w:fldCharType="separate"/>
    </w:r>
    <w:r w:rsidR="00986851">
      <w:rPr>
        <w:b/>
        <w:noProof/>
        <w:sz w:val="18"/>
      </w:rPr>
      <w:t>2</w:t>
    </w:r>
    <w:r>
      <w:rPr>
        <w:b/>
        <w:sz w:val="18"/>
      </w:rPr>
      <w:fldChar w:fldCharType="end"/>
    </w:r>
    <w:r>
      <w:tab/>
    </w:r>
    <w:fldSimple w:instr=" DOCPROPERTY  gdocf  \* MERGEFORMAT ">
      <w:r>
        <w:t>gdocf</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16FC" w:rsidRDefault="00063FA7">
    <w:pPr>
      <w:pStyle w:val="Piedepgina"/>
      <w:tabs>
        <w:tab w:val="right" w:pos="9639"/>
      </w:tabs>
      <w:rPr>
        <w:sz w:val="20"/>
      </w:rPr>
    </w:pPr>
    <w:fldSimple w:instr=" DOCPROPERTY  gdocf  \* MERGEFORMAT ">
      <w:r>
        <w:t>gdocf</w:t>
      </w:r>
    </w:fldSimple>
    <w:r>
      <w:tab/>
    </w:r>
    <w:r>
      <w:rPr>
        <w:b/>
        <w:sz w:val="18"/>
      </w:rPr>
      <w:fldChar w:fldCharType="begin"/>
    </w:r>
    <w:r>
      <w:rPr>
        <w:b/>
        <w:sz w:val="18"/>
      </w:rPr>
      <w:instrText xml:space="preserve"> PAGE  \* MERGEFORMAT </w:instrText>
    </w:r>
    <w:r>
      <w:rPr>
        <w:b/>
        <w:sz w:val="18"/>
      </w:rPr>
      <w:fldChar w:fldCharType="separate"/>
    </w:r>
    <w:r w:rsidR="00986851">
      <w:rPr>
        <w:b/>
        <w:noProof/>
        <w:sz w:val="18"/>
      </w:rPr>
      <w:t>3</w:t>
    </w:r>
    <w:r>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16FC" w:rsidRDefault="00063FA7">
    <w:pPr>
      <w:pStyle w:val="Piedepgina"/>
      <w:spacing w:before="120"/>
      <w:rPr>
        <w:noProof/>
        <w:sz w:val="20"/>
        <w:lang w:eastAsia="fr-FR"/>
      </w:rPr>
    </w:pPr>
    <w:r>
      <w:rPr>
        <w:noProof/>
        <w:sz w:val="20"/>
        <w:lang w:val="fr-CH" w:eastAsia="fr-CH"/>
      </w:rPr>
      <w:drawing>
        <wp:anchor distT="0" distB="0" distL="114300" distR="114300" simplePos="0" relativeHeight="251661824" behindDoc="0" locked="1" layoutInCell="1" allowOverlap="1">
          <wp:simplePos x="0" y="0"/>
          <wp:positionH relativeFrom="column">
            <wp:posOffset>5868670</wp:posOffset>
          </wp:positionH>
          <wp:positionV relativeFrom="paragraph">
            <wp:posOffset>9387840</wp:posOffset>
          </wp:positionV>
          <wp:extent cx="930275" cy="230505"/>
          <wp:effectExtent l="0" t="0" r="3175" b="0"/>
          <wp:wrapNone/>
          <wp:docPr id="2"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rPr>
      <w:t>GE.</w:t>
    </w:r>
    <w:r>
      <w:rPr>
        <w:sz w:val="20"/>
      </w:rPr>
      <w:fldChar w:fldCharType="begin"/>
    </w:r>
    <w:r>
      <w:rPr>
        <w:sz w:val="20"/>
      </w:rPr>
      <w:instrText xml:space="preserve"> DOCPROPERTY  gdoc  \* MERGEFORMAT </w:instrText>
    </w:r>
    <w:r>
      <w:rPr>
        <w:sz w:val="20"/>
      </w:rPr>
      <w:fldChar w:fldCharType="separate"/>
    </w:r>
    <w:r>
      <w:rPr>
        <w:sz w:val="20"/>
      </w:rPr>
      <w:t>gdoc</w:t>
    </w:r>
    <w:r>
      <w:rPr>
        <w:sz w:val="20"/>
      </w:rPr>
      <w:fldChar w:fldCharType="end"/>
    </w:r>
  </w:p>
  <w:tbl>
    <w:tblPr>
      <w:tblStyle w:val="Tablaconcuadrcula"/>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AF16FC">
      <w:tc>
        <w:tcPr>
          <w:tcW w:w="1848" w:type="dxa"/>
          <w:vAlign w:val="bottom"/>
        </w:tcPr>
        <w:p w:rsidR="00AF16FC" w:rsidRDefault="00063FA7">
          <w:pPr>
            <w:pStyle w:val="Piedepgina"/>
            <w:spacing w:before="120" w:after="120"/>
            <w:jc w:val="right"/>
          </w:pPr>
          <w:r>
            <w:rPr>
              <w:noProof/>
              <w:sz w:val="20"/>
              <w:lang w:val="fr-CH" w:eastAsia="fr-CH"/>
            </w:rPr>
            <w:drawing>
              <wp:inline distT="0" distB="0" distL="0" distR="0">
                <wp:extent cx="931545" cy="232410"/>
                <wp:effectExtent l="0" t="0" r="1905" b="0"/>
                <wp:docPr id="3" name="Image 4"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Engl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1545" cy="232410"/>
                        </a:xfrm>
                        <a:prstGeom prst="rect">
                          <a:avLst/>
                        </a:prstGeom>
                        <a:noFill/>
                        <a:ln>
                          <a:noFill/>
                        </a:ln>
                      </pic:spPr>
                    </pic:pic>
                  </a:graphicData>
                </a:graphic>
              </wp:inline>
            </w:drawing>
          </w:r>
        </w:p>
      </w:tc>
      <w:tc>
        <w:tcPr>
          <w:tcW w:w="1274" w:type="dxa"/>
        </w:tcPr>
        <w:p w:rsidR="00AF16FC" w:rsidRDefault="00AF16FC">
          <w:pPr>
            <w:pStyle w:val="Piedepgina"/>
            <w:jc w:val="right"/>
          </w:pPr>
        </w:p>
      </w:tc>
    </w:tr>
  </w:tbl>
  <w:p w:rsidR="00AF16FC" w:rsidRDefault="00063FA7">
    <w:pPr>
      <w:pStyle w:val="Piedepgina"/>
    </w:pPr>
    <w:r>
      <w:rPr>
        <w:rFonts w:ascii="C39T30Lfz" w:hAnsi="C39T30Lfz"/>
        <w:noProof/>
        <w:sz w:val="56"/>
        <w:szCs w:val="56"/>
        <w:lang w:eastAsia="fr-FR"/>
      </w:rPr>
      <w:fldChar w:fldCharType="begin"/>
    </w:r>
    <w:r>
      <w:rPr>
        <w:rFonts w:ascii="C39T30Lfz" w:hAnsi="C39T30Lfz"/>
        <w:noProof/>
        <w:sz w:val="56"/>
        <w:szCs w:val="56"/>
        <w:lang w:eastAsia="fr-FR"/>
      </w:rPr>
      <w:instrText xml:space="preserve"> DOCPROPERTY  bar  \* MERGEFORMAT </w:instrText>
    </w:r>
    <w:r>
      <w:rPr>
        <w:rFonts w:ascii="C39T30Lfz" w:hAnsi="C39T30Lfz"/>
        <w:noProof/>
        <w:sz w:val="56"/>
        <w:szCs w:val="56"/>
        <w:lang w:eastAsia="fr-FR"/>
      </w:rPr>
      <w:fldChar w:fldCharType="separate"/>
    </w:r>
    <w:r>
      <w:rPr>
        <w:rFonts w:ascii="C39T30Lfz" w:hAnsi="C39T30Lfz"/>
        <w:noProof/>
        <w:sz w:val="56"/>
        <w:szCs w:val="56"/>
        <w:lang w:eastAsia="fr-FR"/>
      </w:rPr>
      <w:t>*0123456789</w:t>
    </w:r>
    <w:r>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16FC" w:rsidRDefault="00063FA7">
      <w:pPr>
        <w:pStyle w:val="Piedepgina"/>
        <w:tabs>
          <w:tab w:val="right" w:pos="2155"/>
        </w:tabs>
        <w:spacing w:after="80" w:line="240" w:lineRule="atLeast"/>
        <w:ind w:left="680"/>
        <w:rPr>
          <w:u w:val="single"/>
        </w:rPr>
      </w:pPr>
      <w:r>
        <w:rPr>
          <w:u w:val="single"/>
        </w:rPr>
        <w:tab/>
      </w:r>
    </w:p>
  </w:footnote>
  <w:footnote w:type="continuationSeparator" w:id="0">
    <w:p w:rsidR="00AF16FC" w:rsidRDefault="00063FA7">
      <w:pPr>
        <w:pStyle w:val="Piedepgina"/>
        <w:tabs>
          <w:tab w:val="right" w:pos="2155"/>
        </w:tabs>
        <w:spacing w:after="80" w:line="240" w:lineRule="atLeast"/>
        <w:ind w:left="680"/>
        <w:rPr>
          <w:u w:val="single"/>
        </w:rPr>
      </w:pPr>
      <w:r>
        <w:rPr>
          <w:u w:val="single"/>
        </w:rPr>
        <w:tab/>
      </w:r>
    </w:p>
  </w:footnote>
  <w:footnote w:type="continuationNotice" w:id="1">
    <w:p w:rsidR="00AF16FC" w:rsidRDefault="00AF16FC">
      <w:pPr>
        <w:rPr>
          <w:sz w:val="2"/>
          <w:szCs w:val="2"/>
        </w:rPr>
      </w:pPr>
    </w:p>
  </w:footnote>
  <w:footnote w:id="2">
    <w:p w:rsidR="00AF16FC" w:rsidRDefault="00063FA7">
      <w:pPr>
        <w:pStyle w:val="Textonotapie"/>
        <w:rPr>
          <w:lang w:val="en-US"/>
        </w:rPr>
      </w:pPr>
      <w:r>
        <w:tab/>
      </w:r>
      <w:r>
        <w:rPr>
          <w:rStyle w:val="Refdenotaalpie"/>
          <w:sz w:val="20"/>
          <w:vertAlign w:val="baseline"/>
        </w:rPr>
        <w:t>*</w:t>
      </w:r>
      <w:r>
        <w:rPr>
          <w:sz w:val="20"/>
        </w:rPr>
        <w:tab/>
      </w:r>
      <w:r>
        <w:t xml:space="preserve">Adopted by the Committee at its </w:t>
      </w:r>
      <w:r w:rsidR="0040367D" w:rsidRPr="0040367D">
        <w:rPr>
          <w:color w:val="FF0000"/>
        </w:rPr>
        <w:t>[</w:t>
      </w:r>
      <w:r>
        <w:rPr>
          <w:color w:val="FF0000"/>
        </w:rPr>
        <w:t>number</w:t>
      </w:r>
      <w:r w:rsidR="0040367D">
        <w:rPr>
          <w:color w:val="FF0000"/>
        </w:rPr>
        <w:t>]</w:t>
      </w:r>
      <w:r>
        <w:rPr>
          <w:color w:val="FF0000"/>
        </w:rPr>
        <w:t xml:space="preserve"> </w:t>
      </w:r>
      <w:r>
        <w:t>session (</w:t>
      </w:r>
      <w:r>
        <w:rPr>
          <w:color w:val="FF0000"/>
        </w:rPr>
        <w:t>dates</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16FC" w:rsidRDefault="00063FA7">
    <w:pPr>
      <w:pStyle w:val="Encabezado"/>
    </w:pPr>
    <w:fldSimple w:instr=" DOCPROPERTY  symh  \* MERGEFORMAT ">
      <w:r>
        <w:t>symh</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16FC" w:rsidRDefault="00063FA7">
    <w:pPr>
      <w:pStyle w:val="Encabezado"/>
      <w:jc w:val="right"/>
    </w:pPr>
    <w:fldSimple w:instr=" DOCPROPERTY  symh  \* MERGEFORMAT ">
      <w:r>
        <w:t>symh</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16FC" w:rsidRDefault="00AF16FC">
    <w:pPr>
      <w:pStyle w:val="Encabezado"/>
      <w:pBdr>
        <w:bottom w:val="none" w:sz="0" w:space="0" w:color="auto"/>
      </w:pBdr>
      <w:rPr>
        <w:b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0C49F8"/>
    <w:multiLevelType w:val="hybridMultilevel"/>
    <w:tmpl w:val="FFD08D26"/>
    <w:lvl w:ilvl="0" w:tplc="2FB47626">
      <w:start w:val="1"/>
      <w:numFmt w:val="decimal"/>
      <w:lvlText w:val="%1."/>
      <w:lvlJc w:val="left"/>
      <w:pPr>
        <w:tabs>
          <w:tab w:val="num" w:pos="0"/>
        </w:tabs>
        <w:ind w:left="1134" w:firstLine="0"/>
      </w:pPr>
      <w:rPr>
        <w:rFonts w:ascii="Times New Roman" w:hAnsi="Times New Roman"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D954887"/>
    <w:multiLevelType w:val="hybridMultilevel"/>
    <w:tmpl w:val="2B362816"/>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2" w15:restartNumberingAfterBreak="0">
    <w:nsid w:val="1E253887"/>
    <w:multiLevelType w:val="hybridMultilevel"/>
    <w:tmpl w:val="497EC7CC"/>
    <w:lvl w:ilvl="0" w:tplc="FAE4B376">
      <w:start w:val="1"/>
      <w:numFmt w:val="bullet"/>
      <w:lvlText w:val="•"/>
      <w:lvlJc w:val="left"/>
      <w:pPr>
        <w:tabs>
          <w:tab w:val="num" w:pos="2268"/>
        </w:tabs>
        <w:ind w:left="2268" w:hanging="17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A12325"/>
    <w:multiLevelType w:val="hybridMultilevel"/>
    <w:tmpl w:val="FF0E5B48"/>
    <w:lvl w:ilvl="0" w:tplc="6D5E22D8">
      <w:start w:val="1"/>
      <w:numFmt w:val="bullet"/>
      <w:lvlText w:val="•"/>
      <w:lvlJc w:val="left"/>
      <w:pPr>
        <w:tabs>
          <w:tab w:val="num" w:pos="1701"/>
        </w:tabs>
        <w:ind w:left="1701" w:hanging="170"/>
      </w:pPr>
      <w:rPr>
        <w:rFonts w:ascii="Times New Roman" w:hAnsi="Times New Roman" w:cs="Times New Roman"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ACF4EB2"/>
    <w:multiLevelType w:val="hybridMultilevel"/>
    <w:tmpl w:val="CB6C816A"/>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5" w15:restartNumberingAfterBreak="0">
    <w:nsid w:val="562A5F2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ED85D9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19F6210"/>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8AD07B2"/>
    <w:multiLevelType w:val="hybridMultilevel"/>
    <w:tmpl w:val="7FEE3222"/>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abstractNum w:abstractNumId="19" w15:restartNumberingAfterBreak="0">
    <w:nsid w:val="78703ABA"/>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8"/>
  </w:num>
  <w:num w:numId="2">
    <w:abstractNumId w:val="14"/>
  </w:num>
  <w:num w:numId="3">
    <w:abstractNumId w:val="11"/>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3"/>
  </w:num>
  <w:num w:numId="15">
    <w:abstractNumId w:val="12"/>
  </w:num>
  <w:num w:numId="16">
    <w:abstractNumId w:val="10"/>
  </w:num>
  <w:num w:numId="17">
    <w:abstractNumId w:val="16"/>
  </w:num>
  <w:num w:numId="18">
    <w:abstractNumId w:val="17"/>
  </w:num>
  <w:num w:numId="19">
    <w:abstractNumId w:val="15"/>
  </w:num>
  <w:num w:numId="20">
    <w:abstractNumId w:val="19"/>
  </w:num>
  <w:num w:numId="21">
    <w:abstractNumId w:val="18"/>
  </w:num>
  <w:num w:numId="22">
    <w:abstractNumId w:val="14"/>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defaultTabStop w:val="567"/>
  <w:hyphenationZone w:val="425"/>
  <w:evenAndOddHeaders/>
  <w:characterSpacingControl w:val="doNotCompress"/>
  <w:hdrShapeDefaults>
    <o:shapedefaults v:ext="edit" spidmax="94209"/>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6FC"/>
    <w:rsid w:val="00063FA7"/>
    <w:rsid w:val="0040367D"/>
    <w:rsid w:val="00986851"/>
    <w:rsid w:val="00AF16FC"/>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94209"/>
    <o:shapelayout v:ext="edit">
      <o:idmap v:ext="edit" data="1"/>
    </o:shapelayout>
  </w:shapeDefaults>
  <w:decimalSymbol w:val="."/>
  <w:listSeparator w:val=";"/>
  <w15:docId w15:val="{1CD2F336-C71E-47E2-B19C-FEAB35E51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after="0" w:line="240" w:lineRule="atLeast"/>
    </w:pPr>
    <w:rPr>
      <w:rFonts w:ascii="Times New Roman" w:eastAsia="Times New Roman" w:hAnsi="Times New Roman" w:cs="Times New Roman"/>
      <w:sz w:val="20"/>
      <w:szCs w:val="20"/>
      <w:lang w:val="en-GB"/>
    </w:rPr>
  </w:style>
  <w:style w:type="paragraph" w:styleId="Ttulo1">
    <w:name w:val="heading 1"/>
    <w:aliases w:val="Table_G"/>
    <w:basedOn w:val="SingleTxtG"/>
    <w:next w:val="SingleTxtG"/>
    <w:link w:val="Ttulo1Car"/>
    <w:qFormat/>
    <w:pPr>
      <w:keepNext/>
      <w:keepLines/>
      <w:spacing w:after="0" w:line="240" w:lineRule="auto"/>
      <w:ind w:right="0"/>
      <w:jc w:val="left"/>
      <w:outlineLvl w:val="0"/>
    </w:pPr>
  </w:style>
  <w:style w:type="paragraph" w:styleId="Ttulo2">
    <w:name w:val="heading 2"/>
    <w:basedOn w:val="Normal"/>
    <w:next w:val="Normal"/>
    <w:link w:val="Ttulo2Car"/>
    <w:semiHidden/>
    <w:qFormat/>
    <w:pPr>
      <w:kinsoku w:val="0"/>
      <w:overflowPunct w:val="0"/>
      <w:autoSpaceDE w:val="0"/>
      <w:autoSpaceDN w:val="0"/>
      <w:adjustRightInd w:val="0"/>
      <w:snapToGrid w:val="0"/>
      <w:outlineLvl w:val="1"/>
    </w:pPr>
    <w:rPr>
      <w:rFonts w:eastAsiaTheme="minorHAnsi"/>
      <w:lang w:val="fr-CH"/>
    </w:rPr>
  </w:style>
  <w:style w:type="paragraph" w:styleId="Ttulo3">
    <w:name w:val="heading 3"/>
    <w:basedOn w:val="Normal"/>
    <w:next w:val="Normal"/>
    <w:link w:val="Ttulo3Car"/>
    <w:semiHidden/>
    <w:qFormat/>
    <w:pPr>
      <w:kinsoku w:val="0"/>
      <w:overflowPunct w:val="0"/>
      <w:autoSpaceDE w:val="0"/>
      <w:autoSpaceDN w:val="0"/>
      <w:adjustRightInd w:val="0"/>
      <w:snapToGrid w:val="0"/>
      <w:outlineLvl w:val="2"/>
    </w:pPr>
    <w:rPr>
      <w:rFonts w:eastAsiaTheme="minorHAnsi"/>
      <w:lang w:val="fr-CH"/>
    </w:rPr>
  </w:style>
  <w:style w:type="paragraph" w:styleId="Ttulo4">
    <w:name w:val="heading 4"/>
    <w:basedOn w:val="Normal"/>
    <w:next w:val="Normal"/>
    <w:link w:val="Ttulo4Car"/>
    <w:semiHidden/>
    <w:qFormat/>
    <w:pPr>
      <w:kinsoku w:val="0"/>
      <w:overflowPunct w:val="0"/>
      <w:autoSpaceDE w:val="0"/>
      <w:autoSpaceDN w:val="0"/>
      <w:adjustRightInd w:val="0"/>
      <w:snapToGrid w:val="0"/>
      <w:outlineLvl w:val="3"/>
    </w:pPr>
    <w:rPr>
      <w:rFonts w:eastAsiaTheme="minorHAnsi"/>
      <w:lang w:val="fr-CH"/>
    </w:rPr>
  </w:style>
  <w:style w:type="paragraph" w:styleId="Ttulo5">
    <w:name w:val="heading 5"/>
    <w:basedOn w:val="Normal"/>
    <w:next w:val="Normal"/>
    <w:link w:val="Ttulo5Car"/>
    <w:semiHidden/>
    <w:qFormat/>
    <w:pPr>
      <w:kinsoku w:val="0"/>
      <w:overflowPunct w:val="0"/>
      <w:autoSpaceDE w:val="0"/>
      <w:autoSpaceDN w:val="0"/>
      <w:adjustRightInd w:val="0"/>
      <w:snapToGrid w:val="0"/>
      <w:outlineLvl w:val="4"/>
    </w:pPr>
    <w:rPr>
      <w:rFonts w:eastAsiaTheme="minorHAnsi"/>
      <w:lang w:val="fr-CH"/>
    </w:rPr>
  </w:style>
  <w:style w:type="paragraph" w:styleId="Ttulo6">
    <w:name w:val="heading 6"/>
    <w:basedOn w:val="Normal"/>
    <w:next w:val="Normal"/>
    <w:link w:val="Ttulo6Car"/>
    <w:semiHidden/>
    <w:qFormat/>
    <w:pPr>
      <w:kinsoku w:val="0"/>
      <w:overflowPunct w:val="0"/>
      <w:autoSpaceDE w:val="0"/>
      <w:autoSpaceDN w:val="0"/>
      <w:adjustRightInd w:val="0"/>
      <w:snapToGrid w:val="0"/>
      <w:outlineLvl w:val="5"/>
    </w:pPr>
    <w:rPr>
      <w:rFonts w:eastAsiaTheme="minorHAnsi"/>
      <w:lang w:val="fr-CH"/>
    </w:rPr>
  </w:style>
  <w:style w:type="paragraph" w:styleId="Ttulo7">
    <w:name w:val="heading 7"/>
    <w:basedOn w:val="Normal"/>
    <w:next w:val="Normal"/>
    <w:link w:val="Ttulo7Car"/>
    <w:semiHidden/>
    <w:qFormat/>
    <w:pPr>
      <w:kinsoku w:val="0"/>
      <w:overflowPunct w:val="0"/>
      <w:autoSpaceDE w:val="0"/>
      <w:autoSpaceDN w:val="0"/>
      <w:adjustRightInd w:val="0"/>
      <w:snapToGrid w:val="0"/>
      <w:outlineLvl w:val="6"/>
    </w:pPr>
    <w:rPr>
      <w:rFonts w:eastAsiaTheme="minorHAnsi"/>
      <w:lang w:val="fr-CH"/>
    </w:rPr>
  </w:style>
  <w:style w:type="paragraph" w:styleId="Ttulo8">
    <w:name w:val="heading 8"/>
    <w:basedOn w:val="Normal"/>
    <w:next w:val="Normal"/>
    <w:link w:val="Ttulo8Car"/>
    <w:semiHidden/>
    <w:qFormat/>
    <w:pPr>
      <w:kinsoku w:val="0"/>
      <w:overflowPunct w:val="0"/>
      <w:autoSpaceDE w:val="0"/>
      <w:autoSpaceDN w:val="0"/>
      <w:adjustRightInd w:val="0"/>
      <w:snapToGrid w:val="0"/>
      <w:outlineLvl w:val="7"/>
    </w:pPr>
    <w:rPr>
      <w:rFonts w:eastAsiaTheme="minorHAnsi"/>
      <w:lang w:val="fr-CH"/>
    </w:rPr>
  </w:style>
  <w:style w:type="paragraph" w:styleId="Ttulo9">
    <w:name w:val="heading 9"/>
    <w:basedOn w:val="Normal"/>
    <w:next w:val="Normal"/>
    <w:link w:val="Ttulo9Car"/>
    <w:semiHidden/>
    <w:qFormat/>
    <w:pPr>
      <w:kinsoku w:val="0"/>
      <w:overflowPunct w:val="0"/>
      <w:autoSpaceDE w:val="0"/>
      <w:autoSpaceDN w:val="0"/>
      <w:adjustRightInd w:val="0"/>
      <w:snapToGrid w:val="0"/>
      <w:outlineLvl w:val="8"/>
    </w:pPr>
    <w:rPr>
      <w:rFonts w:eastAsiaTheme="minorHAnsi"/>
      <w:lang w:val="fr-CH"/>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6_G"/>
    <w:basedOn w:val="Normal"/>
    <w:link w:val="EncabezadoCar"/>
    <w:pPr>
      <w:pBdr>
        <w:bottom w:val="single" w:sz="4" w:space="4" w:color="auto"/>
      </w:pBdr>
      <w:suppressAutoHyphens w:val="0"/>
      <w:spacing w:line="240" w:lineRule="auto"/>
    </w:pPr>
    <w:rPr>
      <w:rFonts w:eastAsiaTheme="minorHAnsi"/>
      <w:b/>
      <w:sz w:val="18"/>
    </w:rPr>
  </w:style>
  <w:style w:type="character" w:customStyle="1" w:styleId="EncabezadoCar">
    <w:name w:val="Encabezado Car"/>
    <w:aliases w:val="6_G Car"/>
    <w:basedOn w:val="Fuentedeprrafopredeter"/>
    <w:link w:val="Encabezado"/>
    <w:rPr>
      <w:rFonts w:ascii="Times New Roman" w:hAnsi="Times New Roman" w:cs="Times New Roman"/>
      <w:b/>
      <w:sz w:val="18"/>
      <w:szCs w:val="20"/>
      <w:lang w:val="en-GB"/>
    </w:rPr>
  </w:style>
  <w:style w:type="paragraph" w:styleId="Piedepgina">
    <w:name w:val="footer"/>
    <w:aliases w:val="3_G"/>
    <w:basedOn w:val="Normal"/>
    <w:link w:val="PiedepginaCar"/>
    <w:pPr>
      <w:suppressAutoHyphens w:val="0"/>
      <w:spacing w:line="240" w:lineRule="auto"/>
    </w:pPr>
    <w:rPr>
      <w:rFonts w:eastAsiaTheme="minorHAnsi"/>
      <w:sz w:val="16"/>
    </w:rPr>
  </w:style>
  <w:style w:type="character" w:customStyle="1" w:styleId="PiedepginaCar">
    <w:name w:val="Pie de página Car"/>
    <w:aliases w:val="3_G Car"/>
    <w:basedOn w:val="Fuentedeprrafopredeter"/>
    <w:link w:val="Piedepgina"/>
    <w:rPr>
      <w:rFonts w:ascii="Times New Roman" w:hAnsi="Times New Roman" w:cs="Times New Roman"/>
      <w:sz w:val="16"/>
      <w:szCs w:val="20"/>
      <w:lang w:val="en-GB"/>
    </w:rPr>
  </w:style>
  <w:style w:type="paragraph" w:customStyle="1" w:styleId="HMG">
    <w:name w:val="_ H __M_G"/>
    <w:basedOn w:val="Normal"/>
    <w:next w:val="Normal"/>
    <w:qFormat/>
    <w:pPr>
      <w:keepNext/>
      <w:keepLines/>
      <w:tabs>
        <w:tab w:val="right" w:pos="851"/>
      </w:tabs>
      <w:kinsoku w:val="0"/>
      <w:overflowPunct w:val="0"/>
      <w:autoSpaceDE w:val="0"/>
      <w:autoSpaceDN w:val="0"/>
      <w:adjustRightInd w:val="0"/>
      <w:snapToGrid w:val="0"/>
      <w:spacing w:before="240" w:after="240" w:line="360" w:lineRule="exact"/>
      <w:ind w:left="1134" w:right="1134" w:hanging="1134"/>
    </w:pPr>
    <w:rPr>
      <w:rFonts w:eastAsiaTheme="minorHAnsi"/>
      <w:b/>
      <w:sz w:val="34"/>
    </w:rPr>
  </w:style>
  <w:style w:type="paragraph" w:customStyle="1" w:styleId="HChG">
    <w:name w:val="_ H _Ch_G"/>
    <w:basedOn w:val="Normal"/>
    <w:next w:val="Normal"/>
    <w:qFormat/>
    <w:pPr>
      <w:keepNext/>
      <w:keepLines/>
      <w:tabs>
        <w:tab w:val="right" w:pos="851"/>
      </w:tabs>
      <w:kinsoku w:val="0"/>
      <w:overflowPunct w:val="0"/>
      <w:autoSpaceDE w:val="0"/>
      <w:autoSpaceDN w:val="0"/>
      <w:adjustRightInd w:val="0"/>
      <w:snapToGrid w:val="0"/>
      <w:spacing w:before="360" w:after="240" w:line="300" w:lineRule="exact"/>
      <w:ind w:left="1134" w:right="1134" w:hanging="1134"/>
    </w:pPr>
    <w:rPr>
      <w:rFonts w:eastAsiaTheme="minorHAnsi"/>
      <w:b/>
      <w:sz w:val="28"/>
    </w:rPr>
  </w:style>
  <w:style w:type="paragraph" w:customStyle="1" w:styleId="H1G">
    <w:name w:val="_ H_1_G"/>
    <w:basedOn w:val="Normal"/>
    <w:next w:val="Normal"/>
    <w:qFormat/>
    <w:pPr>
      <w:keepNext/>
      <w:keepLines/>
      <w:tabs>
        <w:tab w:val="right" w:pos="851"/>
      </w:tabs>
      <w:kinsoku w:val="0"/>
      <w:overflowPunct w:val="0"/>
      <w:autoSpaceDE w:val="0"/>
      <w:autoSpaceDN w:val="0"/>
      <w:adjustRightInd w:val="0"/>
      <w:snapToGrid w:val="0"/>
      <w:spacing w:before="360" w:after="240" w:line="270" w:lineRule="exact"/>
      <w:ind w:left="1134" w:right="1134" w:hanging="1134"/>
    </w:pPr>
    <w:rPr>
      <w:rFonts w:eastAsiaTheme="minorHAnsi"/>
      <w:b/>
      <w:sz w:val="24"/>
    </w:rPr>
  </w:style>
  <w:style w:type="paragraph" w:customStyle="1" w:styleId="H23G">
    <w:name w:val="_ H_2/3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b/>
    </w:rPr>
  </w:style>
  <w:style w:type="paragraph" w:customStyle="1" w:styleId="H4G">
    <w:name w:val="_ H_4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i/>
    </w:rPr>
  </w:style>
  <w:style w:type="paragraph" w:customStyle="1" w:styleId="H56G">
    <w:name w:val="_ H_5/6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rPr>
  </w:style>
  <w:style w:type="paragraph" w:customStyle="1" w:styleId="SingleTxtG">
    <w:name w:val="_ Single Txt_G"/>
    <w:basedOn w:val="Normal"/>
    <w:link w:val="SingleTxtGChar"/>
    <w:qFormat/>
    <w:pPr>
      <w:kinsoku w:val="0"/>
      <w:overflowPunct w:val="0"/>
      <w:autoSpaceDE w:val="0"/>
      <w:autoSpaceDN w:val="0"/>
      <w:adjustRightInd w:val="0"/>
      <w:snapToGrid w:val="0"/>
      <w:spacing w:after="120"/>
      <w:ind w:left="1134" w:right="1134"/>
      <w:jc w:val="both"/>
    </w:pPr>
    <w:rPr>
      <w:rFonts w:eastAsiaTheme="minorHAnsi"/>
    </w:rPr>
  </w:style>
  <w:style w:type="paragraph" w:customStyle="1" w:styleId="SLG">
    <w:name w:val="__S_L_G"/>
    <w:basedOn w:val="Normal"/>
    <w:next w:val="Normal"/>
    <w:pPr>
      <w:keepNext/>
      <w:keepLines/>
      <w:spacing w:before="240" w:after="240" w:line="580" w:lineRule="exact"/>
      <w:ind w:left="1134" w:right="1134"/>
    </w:pPr>
    <w:rPr>
      <w:b/>
      <w:sz w:val="56"/>
    </w:rPr>
  </w:style>
  <w:style w:type="paragraph" w:customStyle="1" w:styleId="SMG">
    <w:name w:val="__S_M_G"/>
    <w:basedOn w:val="Normal"/>
    <w:next w:val="Normal"/>
    <w:pPr>
      <w:keepNext/>
      <w:keepLines/>
      <w:spacing w:before="240" w:after="240" w:line="420" w:lineRule="exact"/>
      <w:ind w:left="1134" w:right="1134"/>
    </w:pPr>
    <w:rPr>
      <w:b/>
      <w:sz w:val="40"/>
    </w:rPr>
  </w:style>
  <w:style w:type="paragraph" w:customStyle="1" w:styleId="SSG">
    <w:name w:val="__S_S_G"/>
    <w:basedOn w:val="Normal"/>
    <w:next w:val="Normal"/>
    <w:pPr>
      <w:keepNext/>
      <w:keepLines/>
      <w:spacing w:before="240" w:after="240" w:line="300" w:lineRule="exact"/>
      <w:ind w:left="1134" w:right="1134"/>
    </w:pPr>
    <w:rPr>
      <w:b/>
      <w:sz w:val="28"/>
    </w:rPr>
  </w:style>
  <w:style w:type="paragraph" w:customStyle="1" w:styleId="XLargeG">
    <w:name w:val="__XLarge_G"/>
    <w:basedOn w:val="Normal"/>
    <w:next w:val="Normal"/>
    <w:pPr>
      <w:keepNext/>
      <w:keepLines/>
      <w:spacing w:before="240" w:after="240" w:line="420" w:lineRule="exact"/>
      <w:ind w:left="1134" w:right="1134"/>
    </w:pPr>
    <w:rPr>
      <w:b/>
      <w:sz w:val="40"/>
    </w:rPr>
  </w:style>
  <w:style w:type="paragraph" w:customStyle="1" w:styleId="Bullet1G">
    <w:name w:val="_Bullet 1_G"/>
    <w:basedOn w:val="Normal"/>
    <w:qFormat/>
    <w:pPr>
      <w:numPr>
        <w:numId w:val="21"/>
      </w:numPr>
      <w:kinsoku w:val="0"/>
      <w:overflowPunct w:val="0"/>
      <w:autoSpaceDE w:val="0"/>
      <w:autoSpaceDN w:val="0"/>
      <w:adjustRightInd w:val="0"/>
      <w:snapToGrid w:val="0"/>
      <w:spacing w:after="120"/>
      <w:ind w:right="1134"/>
      <w:jc w:val="both"/>
    </w:pPr>
    <w:rPr>
      <w:rFonts w:eastAsiaTheme="minorHAnsi"/>
    </w:rPr>
  </w:style>
  <w:style w:type="paragraph" w:customStyle="1" w:styleId="Bullet2G">
    <w:name w:val="_Bullet 2_G"/>
    <w:basedOn w:val="Normal"/>
    <w:qFormat/>
    <w:pPr>
      <w:numPr>
        <w:numId w:val="22"/>
      </w:numPr>
      <w:kinsoku w:val="0"/>
      <w:overflowPunct w:val="0"/>
      <w:autoSpaceDE w:val="0"/>
      <w:autoSpaceDN w:val="0"/>
      <w:adjustRightInd w:val="0"/>
      <w:snapToGrid w:val="0"/>
      <w:spacing w:after="120"/>
      <w:ind w:right="1134"/>
      <w:jc w:val="both"/>
    </w:pPr>
    <w:rPr>
      <w:rFonts w:eastAsiaTheme="minorHAnsi"/>
    </w:rPr>
  </w:style>
  <w:style w:type="paragraph" w:customStyle="1" w:styleId="ParNoG">
    <w:name w:val="_ParNo_G"/>
    <w:basedOn w:val="Normal"/>
    <w:qFormat/>
    <w:pPr>
      <w:numPr>
        <w:numId w:val="23"/>
      </w:numPr>
      <w:tabs>
        <w:tab w:val="clear" w:pos="1701"/>
      </w:tabs>
      <w:kinsoku w:val="0"/>
      <w:overflowPunct w:val="0"/>
      <w:autoSpaceDE w:val="0"/>
      <w:autoSpaceDN w:val="0"/>
      <w:adjustRightInd w:val="0"/>
      <w:snapToGrid w:val="0"/>
      <w:spacing w:after="120"/>
      <w:ind w:right="1134"/>
      <w:jc w:val="both"/>
    </w:pPr>
    <w:rPr>
      <w:rFonts w:eastAsiaTheme="minorHAnsi"/>
    </w:rPr>
  </w:style>
  <w:style w:type="character" w:styleId="Refdenotaalpie">
    <w:name w:val="footnote reference"/>
    <w:aliases w:val="4_G"/>
    <w:basedOn w:val="Fuentedeprrafopredeter"/>
    <w:qFormat/>
    <w:rPr>
      <w:rFonts w:ascii="Times New Roman" w:hAnsi="Times New Roman"/>
      <w:sz w:val="18"/>
      <w:vertAlign w:val="superscript"/>
      <w:lang w:val="en-GB"/>
    </w:rPr>
  </w:style>
  <w:style w:type="character" w:styleId="Refdenotaalfinal">
    <w:name w:val="endnote reference"/>
    <w:aliases w:val="1_G"/>
    <w:basedOn w:val="Refdenotaalpie"/>
    <w:qFormat/>
    <w:rPr>
      <w:rFonts w:ascii="Times New Roman" w:hAnsi="Times New Roman"/>
      <w:sz w:val="18"/>
      <w:vertAlign w:val="superscript"/>
      <w:lang w:val="en-GB"/>
    </w:rPr>
  </w:style>
  <w:style w:type="table" w:styleId="Tablaconcuadrcula">
    <w:name w:val="Table Grid"/>
    <w:basedOn w:val="Tablanormal"/>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ipervnculo">
    <w:name w:val="Hyperlink"/>
    <w:basedOn w:val="Fuentedeprrafopredeter"/>
    <w:semiHidden/>
    <w:rPr>
      <w:color w:val="0000FF"/>
      <w:u w:val="none"/>
    </w:rPr>
  </w:style>
  <w:style w:type="character" w:styleId="Hipervnculovisitado">
    <w:name w:val="FollowedHyperlink"/>
    <w:basedOn w:val="Fuentedeprrafopredeter"/>
    <w:semiHidden/>
    <w:rPr>
      <w:color w:val="0000FF"/>
      <w:u w:val="none"/>
    </w:rPr>
  </w:style>
  <w:style w:type="paragraph" w:styleId="Textonotapie">
    <w:name w:val="footnote text"/>
    <w:aliases w:val="5_G"/>
    <w:basedOn w:val="Normal"/>
    <w:link w:val="TextonotapieCar"/>
    <w:qFormat/>
    <w:pPr>
      <w:tabs>
        <w:tab w:val="right" w:pos="1021"/>
      </w:tabs>
      <w:kinsoku w:val="0"/>
      <w:overflowPunct w:val="0"/>
      <w:autoSpaceDE w:val="0"/>
      <w:autoSpaceDN w:val="0"/>
      <w:adjustRightInd w:val="0"/>
      <w:snapToGrid w:val="0"/>
      <w:spacing w:line="220" w:lineRule="exact"/>
      <w:ind w:left="1134" w:right="1134" w:hanging="1134"/>
    </w:pPr>
    <w:rPr>
      <w:rFonts w:eastAsiaTheme="minorHAnsi"/>
      <w:sz w:val="18"/>
    </w:rPr>
  </w:style>
  <w:style w:type="character" w:customStyle="1" w:styleId="TextonotapieCar">
    <w:name w:val="Texto nota pie Car"/>
    <w:aliases w:val="5_G Car"/>
    <w:basedOn w:val="Fuentedeprrafopredeter"/>
    <w:link w:val="Textonotapie"/>
    <w:rPr>
      <w:rFonts w:ascii="Times New Roman" w:hAnsi="Times New Roman" w:cs="Times New Roman"/>
      <w:sz w:val="18"/>
      <w:szCs w:val="20"/>
      <w:lang w:val="en-GB"/>
    </w:rPr>
  </w:style>
  <w:style w:type="paragraph" w:styleId="Textonotaalfinal">
    <w:name w:val="endnote text"/>
    <w:aliases w:val="2_G"/>
    <w:basedOn w:val="Textonotapie"/>
    <w:link w:val="TextonotaalfinalCar"/>
    <w:qFormat/>
  </w:style>
  <w:style w:type="character" w:customStyle="1" w:styleId="TextonotaalfinalCar">
    <w:name w:val="Texto nota al final Car"/>
    <w:aliases w:val="2_G Car"/>
    <w:basedOn w:val="Fuentedeprrafopredeter"/>
    <w:link w:val="Textonotaalfinal"/>
    <w:rPr>
      <w:rFonts w:ascii="Times New Roman" w:hAnsi="Times New Roman" w:cs="Times New Roman"/>
      <w:sz w:val="18"/>
      <w:szCs w:val="20"/>
      <w:lang w:val="en-GB"/>
    </w:rPr>
  </w:style>
  <w:style w:type="character" w:styleId="Nmerodepgina">
    <w:name w:val="page number"/>
    <w:aliases w:val="7_G"/>
    <w:basedOn w:val="Fuentedeprrafopredeter"/>
    <w:qFormat/>
    <w:rPr>
      <w:rFonts w:ascii="Times New Roman" w:hAnsi="Times New Roman"/>
      <w:b/>
      <w:sz w:val="18"/>
      <w:lang w:val="en-GB"/>
    </w:rPr>
  </w:style>
  <w:style w:type="character" w:customStyle="1" w:styleId="Ttulo1Car">
    <w:name w:val="Título 1 Car"/>
    <w:aliases w:val="Table_G Car"/>
    <w:basedOn w:val="Fuentedeprrafopredeter"/>
    <w:link w:val="Ttulo1"/>
    <w:rPr>
      <w:rFonts w:ascii="Times New Roman" w:hAnsi="Times New Roman" w:cs="Times New Roman"/>
      <w:sz w:val="20"/>
      <w:szCs w:val="20"/>
    </w:rPr>
  </w:style>
  <w:style w:type="character" w:customStyle="1" w:styleId="Ttulo2Car">
    <w:name w:val="Título 2 Car"/>
    <w:basedOn w:val="Fuentedeprrafopredeter"/>
    <w:link w:val="Ttulo2"/>
    <w:semiHidden/>
    <w:rPr>
      <w:rFonts w:ascii="Times New Roman" w:hAnsi="Times New Roman" w:cs="Times New Roman"/>
      <w:sz w:val="20"/>
      <w:szCs w:val="20"/>
    </w:rPr>
  </w:style>
  <w:style w:type="character" w:customStyle="1" w:styleId="Ttulo3Car">
    <w:name w:val="Título 3 Car"/>
    <w:basedOn w:val="Fuentedeprrafopredeter"/>
    <w:link w:val="Ttulo3"/>
    <w:semiHidden/>
    <w:rPr>
      <w:rFonts w:ascii="Times New Roman" w:hAnsi="Times New Roman" w:cs="Times New Roman"/>
      <w:sz w:val="20"/>
      <w:szCs w:val="20"/>
    </w:rPr>
  </w:style>
  <w:style w:type="character" w:customStyle="1" w:styleId="Ttulo4Car">
    <w:name w:val="Título 4 Car"/>
    <w:basedOn w:val="Fuentedeprrafopredeter"/>
    <w:link w:val="Ttulo4"/>
    <w:semiHidden/>
    <w:rPr>
      <w:rFonts w:ascii="Times New Roman" w:hAnsi="Times New Roman" w:cs="Times New Roman"/>
      <w:sz w:val="20"/>
      <w:szCs w:val="20"/>
    </w:rPr>
  </w:style>
  <w:style w:type="character" w:customStyle="1" w:styleId="Ttulo5Car">
    <w:name w:val="Título 5 Car"/>
    <w:basedOn w:val="Fuentedeprrafopredeter"/>
    <w:link w:val="Ttulo5"/>
    <w:semiHidden/>
    <w:rPr>
      <w:rFonts w:ascii="Times New Roman" w:hAnsi="Times New Roman" w:cs="Times New Roman"/>
      <w:sz w:val="20"/>
      <w:szCs w:val="20"/>
    </w:rPr>
  </w:style>
  <w:style w:type="character" w:customStyle="1" w:styleId="Ttulo6Car">
    <w:name w:val="Título 6 Car"/>
    <w:basedOn w:val="Fuentedeprrafopredeter"/>
    <w:link w:val="Ttulo6"/>
    <w:semiHidden/>
    <w:rPr>
      <w:rFonts w:ascii="Times New Roman" w:hAnsi="Times New Roman" w:cs="Times New Roman"/>
      <w:sz w:val="20"/>
      <w:szCs w:val="20"/>
    </w:rPr>
  </w:style>
  <w:style w:type="character" w:customStyle="1" w:styleId="Ttulo7Car">
    <w:name w:val="Título 7 Car"/>
    <w:basedOn w:val="Fuentedeprrafopredeter"/>
    <w:link w:val="Ttulo7"/>
    <w:semiHidden/>
    <w:rPr>
      <w:rFonts w:ascii="Times New Roman" w:hAnsi="Times New Roman" w:cs="Times New Roman"/>
      <w:sz w:val="20"/>
      <w:szCs w:val="20"/>
    </w:rPr>
  </w:style>
  <w:style w:type="character" w:customStyle="1" w:styleId="Ttulo8Car">
    <w:name w:val="Título 8 Car"/>
    <w:basedOn w:val="Fuentedeprrafopredeter"/>
    <w:link w:val="Ttulo8"/>
    <w:semiHidden/>
    <w:rPr>
      <w:rFonts w:ascii="Times New Roman" w:hAnsi="Times New Roman" w:cs="Times New Roman"/>
      <w:sz w:val="20"/>
      <w:szCs w:val="20"/>
    </w:rPr>
  </w:style>
  <w:style w:type="character" w:customStyle="1" w:styleId="Ttulo9Car">
    <w:name w:val="Título 9 Car"/>
    <w:basedOn w:val="Fuentedeprrafopredeter"/>
    <w:link w:val="Ttulo9"/>
    <w:semiHidden/>
    <w:rPr>
      <w:rFonts w:ascii="Times New Roman" w:hAnsi="Times New Roman" w:cs="Times New Roman"/>
      <w:sz w:val="20"/>
      <w:szCs w:val="20"/>
    </w:rPr>
  </w:style>
  <w:style w:type="paragraph" w:styleId="Textodeglobo">
    <w:name w:val="Balloon Text"/>
    <w:basedOn w:val="Normal"/>
    <w:link w:val="TextodegloboCar"/>
    <w:uiPriority w:val="99"/>
    <w:semiHidden/>
    <w:unhideWhenUsed/>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eastAsia="Times New Roman" w:hAnsi="Tahoma" w:cs="Tahoma"/>
      <w:sz w:val="16"/>
      <w:szCs w:val="16"/>
      <w:lang w:val="en-GB"/>
    </w:rPr>
  </w:style>
  <w:style w:type="numbering" w:styleId="111111">
    <w:name w:val="Outline List 2"/>
    <w:basedOn w:val="Sinlista"/>
    <w:semiHidden/>
    <w:pPr>
      <w:numPr>
        <w:numId w:val="18"/>
      </w:numPr>
    </w:pPr>
  </w:style>
  <w:style w:type="numbering" w:styleId="1ai">
    <w:name w:val="Outline List 1"/>
    <w:basedOn w:val="Sinlista"/>
    <w:semiHidden/>
    <w:pPr>
      <w:numPr>
        <w:numId w:val="20"/>
      </w:numPr>
    </w:pPr>
  </w:style>
  <w:style w:type="character" w:customStyle="1" w:styleId="SingleTxtGChar">
    <w:name w:val="_ Single Txt_G Char"/>
    <w:link w:val="SingleTxtG"/>
    <w:locked/>
    <w:rPr>
      <w:rFonts w:ascii="Times New Roman" w:hAnsi="Times New Roman" w:cs="Times New Roman"/>
      <w:sz w:val="20"/>
      <w:szCs w:val="20"/>
      <w:lang w:val="en-GB"/>
    </w:rPr>
  </w:style>
  <w:style w:type="table" w:customStyle="1" w:styleId="TableGrid1">
    <w:name w:val="Table Grid1"/>
    <w:basedOn w:val="Tablanormal"/>
    <w:pPr>
      <w:suppressAutoHyphens/>
      <w:spacing w:after="0" w:line="240" w:lineRule="atLeast"/>
    </w:pPr>
    <w:rPr>
      <w:rFonts w:ascii="Times New Roman" w:hAnsi="Times New Roman" w:cs="Times New Roman"/>
      <w:sz w:val="20"/>
      <w:szCs w:val="20"/>
      <w:lang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6C80A-7DEB-4C5E-83D0-FF1AB1981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1013</Words>
  <Characters>5576</Characters>
  <Application>Microsoft Office Word</Application>
  <DocSecurity>0</DocSecurity>
  <Lines>46</Lines>
  <Paragraphs>13</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vector>
  </TitlesOfParts>
  <Company>DCM</Company>
  <LinksUpToDate>false</LinksUpToDate>
  <CharactersWithSpaces>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Gloria</dc:creator>
  <cp:lastModifiedBy>Gloria de la Rosa</cp:lastModifiedBy>
  <cp:revision>7</cp:revision>
  <cp:lastPrinted>2017-10-25T12:09:00Z</cp:lastPrinted>
  <dcterms:created xsi:type="dcterms:W3CDTF">2018-03-15T08:38:00Z</dcterms:created>
  <dcterms:modified xsi:type="dcterms:W3CDTF">2018-06-27T06:41:00Z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ies>
</file>