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9B64DA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9B64DA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9B64DA" w:rsidRDefault="00D44142" w:rsidP="00D44142">
            <w:pPr>
              <w:spacing w:after="80" w:line="300" w:lineRule="exact"/>
              <w:rPr>
                <w:sz w:val="28"/>
              </w:rPr>
            </w:pPr>
            <w:r w:rsidRPr="009B64DA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9B64DA" w:rsidRDefault="00607466" w:rsidP="004A19E3">
            <w:pPr>
              <w:spacing w:after="20"/>
              <w:jc w:val="right"/>
            </w:pPr>
            <w:r w:rsidRPr="009B64DA">
              <w:rPr>
                <w:sz w:val="40"/>
              </w:rPr>
              <w:t>C</w:t>
            </w:r>
            <w:r w:rsidR="004A19E3" w:rsidRPr="009B64DA">
              <w:rPr>
                <w:sz w:val="40"/>
              </w:rPr>
              <w:t>RC</w:t>
            </w:r>
            <w:r w:rsidR="00D44142" w:rsidRPr="009B64DA">
              <w:t>/</w:t>
            </w:r>
            <w:fldSimple w:instr=" DOCPROPERTY  sym1  \* MERGEFORMAT ">
              <w:r w:rsidR="00F520C6" w:rsidRPr="009B64DA">
                <w:t>sym1</w:t>
              </w:r>
            </w:fldSimple>
          </w:p>
        </w:tc>
      </w:tr>
      <w:tr w:rsidR="002D5AAC" w:rsidRPr="009B64DA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9B64DA" w:rsidRDefault="002E5067" w:rsidP="00F90E40">
            <w:pPr>
              <w:spacing w:before="120"/>
              <w:jc w:val="center"/>
            </w:pPr>
            <w:r w:rsidRPr="009B64DA">
              <w:rPr>
                <w:noProof/>
                <w:lang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9B64DA" w:rsidRDefault="004A19E3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9B64DA">
              <w:rPr>
                <w:b/>
                <w:sz w:val="40"/>
                <w:szCs w:val="40"/>
              </w:rPr>
              <w:t>Конвенция</w:t>
            </w:r>
            <w:r w:rsidRPr="009B64DA">
              <w:rPr>
                <w:b/>
                <w:sz w:val="40"/>
                <w:szCs w:val="40"/>
              </w:rPr>
              <w:br/>
              <w:t>о правах ребенка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9B64DA" w:rsidRDefault="00207121" w:rsidP="00207121">
            <w:pPr>
              <w:spacing w:before="240" w:line="240" w:lineRule="exact"/>
            </w:pPr>
            <w:r w:rsidRPr="009B64DA">
              <w:t xml:space="preserve">Distr.: </w:t>
            </w:r>
            <w:r w:rsidRPr="009B64DA">
              <w:fldChar w:fldCharType="begin"/>
            </w:r>
            <w:r w:rsidRPr="009B64DA">
              <w:instrText xml:space="preserve"> DOCPROPERTY  dist  \* MERGEFORMAT </w:instrText>
            </w:r>
            <w:r w:rsidRPr="009B64DA">
              <w:fldChar w:fldCharType="separate"/>
            </w:r>
            <w:proofErr w:type="spellStart"/>
            <w:r w:rsidR="00F520C6" w:rsidRPr="009B64DA">
              <w:t>dist</w:t>
            </w:r>
            <w:proofErr w:type="spellEnd"/>
            <w:r w:rsidRPr="009B64DA">
              <w:fldChar w:fldCharType="end"/>
            </w:r>
          </w:p>
          <w:p w:rsidR="00207121" w:rsidRPr="009B64DA" w:rsidRDefault="00207121" w:rsidP="00207121">
            <w:r w:rsidRPr="009B64DA">
              <w:fldChar w:fldCharType="begin"/>
            </w:r>
            <w:r w:rsidRPr="009B64DA">
              <w:instrText xml:space="preserve"> DOCPROPERTY  date  \* MERGEFORMAT </w:instrText>
            </w:r>
            <w:r w:rsidRPr="009B64DA">
              <w:fldChar w:fldCharType="separate"/>
            </w:r>
            <w:proofErr w:type="spellStart"/>
            <w:r w:rsidR="00F520C6" w:rsidRPr="009B64DA">
              <w:t>date</w:t>
            </w:r>
            <w:proofErr w:type="spellEnd"/>
            <w:r w:rsidRPr="009B64DA">
              <w:fldChar w:fldCharType="end"/>
            </w:r>
          </w:p>
          <w:p w:rsidR="00207121" w:rsidRPr="009B64DA" w:rsidRDefault="00207121" w:rsidP="00207121">
            <w:r w:rsidRPr="009B64DA">
              <w:fldChar w:fldCharType="begin"/>
            </w:r>
            <w:r w:rsidRPr="009B64DA">
              <w:instrText xml:space="preserve"> DOCPROPERTY  tlang  \* MERGEFORMAT </w:instrText>
            </w:r>
            <w:r w:rsidRPr="009B64DA">
              <w:fldChar w:fldCharType="separate"/>
            </w:r>
            <w:proofErr w:type="spellStart"/>
            <w:r w:rsidR="00F520C6" w:rsidRPr="009B64DA">
              <w:t>tlang</w:t>
            </w:r>
            <w:proofErr w:type="spellEnd"/>
            <w:r w:rsidRPr="009B64DA">
              <w:fldChar w:fldCharType="end"/>
            </w:r>
          </w:p>
          <w:p w:rsidR="00207121" w:rsidRPr="009B64DA" w:rsidRDefault="00207121" w:rsidP="00207121">
            <w:proofErr w:type="spellStart"/>
            <w:r w:rsidRPr="009B64DA">
              <w:t>Original</w:t>
            </w:r>
            <w:proofErr w:type="spellEnd"/>
            <w:r w:rsidRPr="009B64DA">
              <w:t xml:space="preserve">: </w:t>
            </w:r>
            <w:r w:rsidRPr="009B64DA">
              <w:fldChar w:fldCharType="begin"/>
            </w:r>
            <w:r w:rsidRPr="009B64DA">
              <w:instrText xml:space="preserve"> DOCPROPERTY  olang  \* MERGEFORMAT </w:instrText>
            </w:r>
            <w:r w:rsidRPr="009B64DA">
              <w:fldChar w:fldCharType="separate"/>
            </w:r>
            <w:proofErr w:type="spellStart"/>
            <w:r w:rsidR="00F520C6" w:rsidRPr="009B64DA">
              <w:t>olang</w:t>
            </w:r>
            <w:proofErr w:type="spellEnd"/>
            <w:r w:rsidRPr="009B64DA">
              <w:fldChar w:fldCharType="end"/>
            </w:r>
          </w:p>
          <w:p w:rsidR="002D5AAC" w:rsidRPr="009B64DA" w:rsidRDefault="00207121" w:rsidP="00A90C18">
            <w:r w:rsidRPr="009B64DA">
              <w:fldChar w:fldCharType="begin"/>
            </w:r>
            <w:r w:rsidRPr="009B64DA">
              <w:instrText xml:space="preserve"> DOCPROPERTY  virs  \* MERGEFORMAT </w:instrText>
            </w:r>
            <w:r w:rsidRPr="009B64DA">
              <w:fldChar w:fldCharType="separate"/>
            </w:r>
            <w:proofErr w:type="spellStart"/>
            <w:r w:rsidR="00F520C6" w:rsidRPr="009B64DA">
              <w:t>virs</w:t>
            </w:r>
            <w:proofErr w:type="spellEnd"/>
            <w:r w:rsidRPr="009B64DA">
              <w:fldChar w:fldCharType="end"/>
            </w:r>
          </w:p>
        </w:tc>
      </w:tr>
    </w:tbl>
    <w:p w:rsidR="004A19E3" w:rsidRPr="009B64DA" w:rsidRDefault="004A19E3" w:rsidP="004A19E3">
      <w:pPr>
        <w:spacing w:before="120"/>
        <w:rPr>
          <w:b/>
          <w:sz w:val="24"/>
          <w:szCs w:val="24"/>
        </w:rPr>
      </w:pPr>
      <w:r w:rsidRPr="009B64DA">
        <w:rPr>
          <w:b/>
          <w:sz w:val="24"/>
          <w:szCs w:val="24"/>
        </w:rPr>
        <w:t>Комитет по правам ребенка</w:t>
      </w:r>
    </w:p>
    <w:p w:rsidR="00BE58FA" w:rsidRPr="009B64DA" w:rsidRDefault="00BE58FA" w:rsidP="00BE58FA">
      <w:pPr>
        <w:pStyle w:val="HChG"/>
      </w:pPr>
      <w:r w:rsidRPr="009B64DA">
        <w:tab/>
      </w:r>
      <w:r w:rsidRPr="009B64DA">
        <w:tab/>
        <w:t xml:space="preserve">Заключительные замечания по </w:t>
      </w:r>
      <w:r w:rsidRPr="009B64DA">
        <w:rPr>
          <w:color w:val="FF0000"/>
        </w:rPr>
        <w:t>[первоначальному]</w:t>
      </w:r>
      <w:r w:rsidRPr="009B64DA">
        <w:t xml:space="preserve"> </w:t>
      </w:r>
      <w:r w:rsidRPr="009B64DA">
        <w:rPr>
          <w:color w:val="FF0000"/>
        </w:rPr>
        <w:t>[объединенным номера периодическим] [номер периодическому]</w:t>
      </w:r>
      <w:r w:rsidRPr="009B64DA">
        <w:t xml:space="preserve"> докладу/</w:t>
      </w:r>
      <w:r w:rsidRPr="009B64DA">
        <w:rPr>
          <w:color w:val="FF0000"/>
        </w:rPr>
        <w:t>докладам страны</w:t>
      </w:r>
      <w:r w:rsidRPr="009B64DA">
        <w:rPr>
          <w:rStyle w:val="Appelnotedebasdep"/>
          <w:b w:val="0"/>
          <w:sz w:val="20"/>
          <w:vertAlign w:val="baseline"/>
          <w:lang w:eastAsia="en-US"/>
        </w:rPr>
        <w:footnoteReference w:customMarkFollows="1" w:id="1"/>
        <w:t>*</w:t>
      </w:r>
    </w:p>
    <w:p w:rsidR="00BE58FA" w:rsidRPr="009B64DA" w:rsidRDefault="00BE58FA" w:rsidP="00BE58FA">
      <w:pPr>
        <w:pStyle w:val="HChG"/>
      </w:pPr>
      <w:r w:rsidRPr="009B64DA">
        <w:tab/>
        <w:t>I.</w:t>
      </w:r>
      <w:r w:rsidRPr="009B64DA">
        <w:tab/>
        <w:t>Введение</w:t>
      </w:r>
    </w:p>
    <w:p w:rsidR="009B64DA" w:rsidRPr="009B64DA" w:rsidRDefault="00BE58FA" w:rsidP="00BE58FA">
      <w:pPr>
        <w:pStyle w:val="SingleTxtG"/>
      </w:pPr>
      <w:r w:rsidRPr="009B64DA">
        <w:t>1.</w:t>
      </w:r>
      <w:r w:rsidRPr="009B64DA">
        <w:tab/>
        <w:t xml:space="preserve">Комитет рассмотрел </w:t>
      </w:r>
      <w:r w:rsidRPr="009B64DA">
        <w:rPr>
          <w:color w:val="FF0000"/>
        </w:rPr>
        <w:t xml:space="preserve">[первоначальный] [объединенные номера периодические] [номер периодический] </w:t>
      </w:r>
      <w:r w:rsidRPr="009B64DA">
        <w:t>доклад/</w:t>
      </w:r>
      <w:r w:rsidRPr="009B64DA">
        <w:rPr>
          <w:color w:val="FF0000"/>
        </w:rPr>
        <w:t>доклады страны</w:t>
      </w:r>
      <w:r w:rsidRPr="009B64DA">
        <w:t xml:space="preserve"> (</w:t>
      </w:r>
      <w:smartTag w:uri="urn:schemas-microsoft-com:office:smarttags" w:element="stockticker">
        <w:r w:rsidRPr="009B64DA">
          <w:t>CRC</w:t>
        </w:r>
      </w:smartTag>
      <w:r w:rsidRPr="009B64DA">
        <w:t>/C/</w:t>
      </w:r>
      <w:r w:rsidRPr="009B64DA">
        <w:rPr>
          <w:color w:val="FF0000"/>
        </w:rPr>
        <w:t>XXX</w:t>
      </w:r>
      <w:r w:rsidRPr="009B64DA">
        <w:t>/</w:t>
      </w:r>
      <w:r w:rsidRPr="009B64DA">
        <w:rPr>
          <w:color w:val="FF0000"/>
        </w:rPr>
        <w:t>Y</w:t>
      </w:r>
      <w:r w:rsidRPr="009B64DA">
        <w:t xml:space="preserve">) на своих </w:t>
      </w:r>
      <w:r w:rsidRPr="009B64DA">
        <w:rPr>
          <w:color w:val="FF0000"/>
        </w:rPr>
        <w:t>номер</w:t>
      </w:r>
      <w:r w:rsidRPr="009B64DA">
        <w:t xml:space="preserve"> и </w:t>
      </w:r>
      <w:r w:rsidRPr="009B64DA">
        <w:rPr>
          <w:color w:val="FF0000"/>
        </w:rPr>
        <w:t>номер</w:t>
      </w:r>
      <w:r w:rsidRPr="009B64DA">
        <w:t xml:space="preserve"> заседаниях (см. </w:t>
      </w:r>
      <w:smartTag w:uri="urn:schemas-microsoft-com:office:smarttags" w:element="stockticker">
        <w:r w:rsidRPr="009B64DA">
          <w:t>CRC</w:t>
        </w:r>
      </w:smartTag>
      <w:r w:rsidRPr="009B64DA">
        <w:t>/C/SR.</w:t>
      </w:r>
      <w:r w:rsidRPr="009B64DA">
        <w:rPr>
          <w:color w:val="FF0000"/>
        </w:rPr>
        <w:t>XXX</w:t>
      </w:r>
      <w:r w:rsidRPr="009B64DA">
        <w:t xml:space="preserve"> и </w:t>
      </w:r>
      <w:r w:rsidRPr="009B64DA">
        <w:rPr>
          <w:color w:val="FF0000"/>
        </w:rPr>
        <w:t>XXX</w:t>
      </w:r>
      <w:r w:rsidRPr="009B64DA">
        <w:t xml:space="preserve">), состоявшихся </w:t>
      </w:r>
      <w:r w:rsidRPr="009B64DA">
        <w:rPr>
          <w:color w:val="FF0000"/>
        </w:rPr>
        <w:t>дата</w:t>
      </w:r>
      <w:r w:rsidRPr="009B64DA">
        <w:t xml:space="preserve"> и </w:t>
      </w:r>
      <w:r w:rsidRPr="009B64DA">
        <w:rPr>
          <w:color w:val="FF0000"/>
        </w:rPr>
        <w:t>дата</w:t>
      </w:r>
      <w:r w:rsidRPr="009B64DA">
        <w:t xml:space="preserve">, и на своем </w:t>
      </w:r>
      <w:r w:rsidRPr="009B64DA">
        <w:rPr>
          <w:color w:val="FF0000"/>
        </w:rPr>
        <w:t>номер</w:t>
      </w:r>
      <w:r w:rsidRPr="009B64DA">
        <w:t xml:space="preserve"> заседании, состоявшемся </w:t>
      </w:r>
      <w:r w:rsidRPr="009B64DA">
        <w:rPr>
          <w:color w:val="FF0000"/>
        </w:rPr>
        <w:t>дата</w:t>
      </w:r>
      <w:r w:rsidRPr="009B64DA">
        <w:t>, принял нижеследующие заключительные замечания.</w:t>
      </w:r>
    </w:p>
    <w:p w:rsidR="00BE58FA" w:rsidRPr="009B64DA" w:rsidRDefault="00BE58FA" w:rsidP="00BE58FA">
      <w:pPr>
        <w:pStyle w:val="SingleTxtG"/>
      </w:pPr>
      <w:r w:rsidRPr="009B64DA">
        <w:t>2.</w:t>
      </w:r>
      <w:r w:rsidRPr="009B64DA">
        <w:tab/>
        <w:t xml:space="preserve">Комитет </w:t>
      </w:r>
      <w:bookmarkStart w:id="0" w:name="_GoBack"/>
      <w:bookmarkEnd w:id="0"/>
      <w:r w:rsidRPr="009B64DA">
        <w:t xml:space="preserve">приветствует представление </w:t>
      </w:r>
      <w:r w:rsidRPr="009B64DA">
        <w:rPr>
          <w:color w:val="FF0000"/>
        </w:rPr>
        <w:t xml:space="preserve">[первоначального] [объединенных номера периодических] [номер периодического] </w:t>
      </w:r>
      <w:r w:rsidRPr="009B64DA">
        <w:t>доклада/</w:t>
      </w:r>
      <w:r w:rsidRPr="009B64DA">
        <w:rPr>
          <w:color w:val="FF0000"/>
        </w:rPr>
        <w:t>докладов</w:t>
      </w:r>
      <w:r w:rsidRPr="009B64DA">
        <w:t xml:space="preserve"> государства-участника и письменных ответов на перечень вопросов (</w:t>
      </w:r>
      <w:smartTag w:uri="urn:schemas-microsoft-com:office:smarttags" w:element="stockticker">
        <w:r w:rsidRPr="009B64DA">
          <w:t>CRC</w:t>
        </w:r>
      </w:smartTag>
      <w:r w:rsidRPr="009B64DA">
        <w:t>/C/</w:t>
      </w:r>
      <w:r w:rsidRPr="009B64DA">
        <w:rPr>
          <w:color w:val="FF0000"/>
        </w:rPr>
        <w:t>XXX</w:t>
      </w:r>
      <w:r w:rsidRPr="009B64DA">
        <w:t>/Q/</w:t>
      </w:r>
      <w:r w:rsidRPr="009B64DA">
        <w:rPr>
          <w:color w:val="FF0000"/>
        </w:rPr>
        <w:t>Y</w:t>
      </w:r>
      <w:r w:rsidRPr="009B64DA">
        <w:t xml:space="preserve">/ Add.1), которые позволили лучше понять положение в области прав детей в государстве-участнике. Комитет выражает свою признательность за состоявшийся конструктивный диалог с </w:t>
      </w:r>
      <w:r w:rsidRPr="009B64DA">
        <w:rPr>
          <w:color w:val="FF0000"/>
        </w:rPr>
        <w:t xml:space="preserve">[многопрофильной] [высокопоставленной] </w:t>
      </w:r>
      <w:r w:rsidRPr="009B64DA">
        <w:t>делегацией государства-участника.</w:t>
      </w:r>
    </w:p>
    <w:p w:rsidR="00BE58FA" w:rsidRPr="009B64DA" w:rsidRDefault="00BE58FA" w:rsidP="00BE58FA">
      <w:pPr>
        <w:pStyle w:val="HChG"/>
      </w:pPr>
      <w:r w:rsidRPr="009B64DA">
        <w:tab/>
        <w:t>II.</w:t>
      </w:r>
      <w:r w:rsidRPr="009B64DA">
        <w:tab/>
        <w:t>Последующие меры, принятые государством-участником, и достигнутый им прогресс</w:t>
      </w:r>
    </w:p>
    <w:p w:rsidR="00BE58FA" w:rsidRPr="009B64DA" w:rsidRDefault="00BE58FA" w:rsidP="00BE58FA">
      <w:pPr>
        <w:pStyle w:val="SingleTxtG"/>
      </w:pPr>
      <w:r w:rsidRPr="009B64DA">
        <w:t>3.</w:t>
      </w:r>
      <w:r w:rsidRPr="009B64DA">
        <w:tab/>
        <w:t>Комитет приветствует ратификацию и/или присоединение к следующим договорам:</w:t>
      </w:r>
    </w:p>
    <w:p w:rsidR="00BE58FA" w:rsidRPr="009B64DA" w:rsidRDefault="00BE58FA" w:rsidP="009B64DA">
      <w:pPr>
        <w:pStyle w:val="SingleTxtG"/>
        <w:ind w:firstLine="567"/>
      </w:pPr>
      <w:r w:rsidRPr="009B64DA">
        <w:tab/>
        <w:t>a)</w:t>
      </w:r>
      <w:r w:rsidRPr="009B64DA">
        <w:tab/>
        <w:t xml:space="preserve">название </w:t>
      </w:r>
      <w:r w:rsidRPr="009B64DA">
        <w:rPr>
          <w:color w:val="FF0000"/>
        </w:rPr>
        <w:t>…</w:t>
      </w:r>
      <w:r w:rsidRPr="009B64DA">
        <w:t xml:space="preserve">, </w:t>
      </w:r>
      <w:r w:rsidRPr="009B64DA">
        <w:rPr>
          <w:color w:val="FF0000"/>
        </w:rPr>
        <w:t>год</w:t>
      </w:r>
      <w:r w:rsidRPr="009B64DA">
        <w:t>;</w:t>
      </w:r>
    </w:p>
    <w:p w:rsidR="00BE58FA" w:rsidRPr="009B64DA" w:rsidRDefault="00BE58FA" w:rsidP="009B64DA">
      <w:pPr>
        <w:pStyle w:val="SingleTxtG"/>
        <w:ind w:firstLine="567"/>
      </w:pPr>
      <w:r w:rsidRPr="009B64DA">
        <w:tab/>
        <w:t>b)</w:t>
      </w:r>
      <w:r w:rsidRPr="009B64DA">
        <w:tab/>
        <w:t xml:space="preserve">название </w:t>
      </w:r>
      <w:r w:rsidRPr="009B64DA">
        <w:rPr>
          <w:color w:val="FF0000"/>
        </w:rPr>
        <w:t>…</w:t>
      </w:r>
      <w:r w:rsidRPr="009B64DA">
        <w:t xml:space="preserve">, </w:t>
      </w:r>
      <w:r w:rsidRPr="009B64DA">
        <w:rPr>
          <w:color w:val="FF0000"/>
        </w:rPr>
        <w:t>дата</w:t>
      </w:r>
      <w:r w:rsidRPr="009B64DA">
        <w:t>;</w:t>
      </w:r>
    </w:p>
    <w:p w:rsidR="00BE58FA" w:rsidRPr="009B64DA" w:rsidRDefault="00BE58FA" w:rsidP="009B64DA">
      <w:pPr>
        <w:pStyle w:val="SingleTxtG"/>
        <w:ind w:firstLine="567"/>
      </w:pPr>
      <w:r w:rsidRPr="009B64DA">
        <w:tab/>
        <w:t>c)</w:t>
      </w:r>
      <w:r w:rsidRPr="009B64DA">
        <w:tab/>
      </w:r>
      <w:r w:rsidRPr="009B64DA">
        <w:rPr>
          <w:color w:val="FF0000"/>
        </w:rPr>
        <w:t>…</w:t>
      </w:r>
      <w:r w:rsidRPr="009B64DA">
        <w:t>.</w:t>
      </w:r>
    </w:p>
    <w:p w:rsidR="00BE58FA" w:rsidRPr="009B64DA" w:rsidRDefault="00BE58FA" w:rsidP="00BE58FA">
      <w:pPr>
        <w:pStyle w:val="HChG"/>
        <w:keepNext w:val="0"/>
      </w:pPr>
      <w:r w:rsidRPr="009B64DA">
        <w:tab/>
        <w:t>III.</w:t>
      </w:r>
      <w:r w:rsidRPr="009B64DA">
        <w:tab/>
        <w:t xml:space="preserve">Факторы и трудности, препятствующие осуществлению Конвенции </w:t>
      </w:r>
      <w:r w:rsidRPr="009B64DA">
        <w:rPr>
          <w:highlight w:val="yellow"/>
        </w:rPr>
        <w:t>[[Включается не всегда. Изменить нумерацию последующих заголовков в случае необходимости.]]</w:t>
      </w:r>
    </w:p>
    <w:p w:rsidR="00BE58FA" w:rsidRPr="009B64DA" w:rsidRDefault="00BE58FA" w:rsidP="00BE58FA">
      <w:pPr>
        <w:pStyle w:val="HChG"/>
      </w:pPr>
      <w:r w:rsidRPr="009B64DA">
        <w:lastRenderedPageBreak/>
        <w:tab/>
        <w:t>IV.</w:t>
      </w:r>
      <w:r w:rsidRPr="009B64DA">
        <w:tab/>
        <w:t>Основные области, вызывающие озабоченность, и рекомендации</w:t>
      </w:r>
    </w:p>
    <w:p w:rsidR="00BE58FA" w:rsidRPr="009B64DA" w:rsidRDefault="00BE58FA" w:rsidP="00BE58FA">
      <w:pPr>
        <w:pStyle w:val="SingleTxtG"/>
      </w:pPr>
      <w:r w:rsidRPr="009B64DA">
        <w:t>4.</w:t>
      </w:r>
      <w:r w:rsidRPr="009B64DA">
        <w:tab/>
        <w:t xml:space="preserve">Комитет напоминает государству-участнику о неделимости и взаимозависимости всех прав, закрепленных в Конвенции, и подчеркивает значение всех рекомендаций, содержащихся в настоящих заключительных замечаниях. Комитет хотел бы обратить внимание государства-участника на рекомендации, касающиеся следующих областей, в отношении которых надлежит принять срочные меры: </w:t>
      </w:r>
      <w:r w:rsidRPr="009B64DA">
        <w:rPr>
          <w:highlight w:val="yellow"/>
        </w:rPr>
        <w:t>[[Области могут быть различными]]</w:t>
      </w:r>
      <w:r w:rsidRPr="009B64DA">
        <w:t xml:space="preserve"> определение ребенка, в особенности в связи с детскими браками (пункт </w:t>
      </w:r>
      <w:r w:rsidRPr="009B64DA">
        <w:rPr>
          <w:color w:val="FF0000"/>
        </w:rPr>
        <w:t>XX</w:t>
      </w:r>
      <w:r w:rsidRPr="009B64DA">
        <w:t xml:space="preserve">), </w:t>
      </w:r>
      <w:proofErr w:type="spellStart"/>
      <w:r w:rsidRPr="009B64DA">
        <w:t>недискриминация</w:t>
      </w:r>
      <w:proofErr w:type="spellEnd"/>
      <w:r w:rsidRPr="009B64DA">
        <w:t xml:space="preserve"> (пункты </w:t>
      </w:r>
      <w:r w:rsidRPr="009B64DA">
        <w:rPr>
          <w:color w:val="FF0000"/>
        </w:rPr>
        <w:t>XX</w:t>
      </w:r>
      <w:r w:rsidRPr="009B64DA">
        <w:t xml:space="preserve"> и </w:t>
      </w:r>
      <w:r w:rsidRPr="009B64DA">
        <w:rPr>
          <w:color w:val="FF0000"/>
        </w:rPr>
        <w:t>XX</w:t>
      </w:r>
      <w:r w:rsidRPr="009B64DA">
        <w:t xml:space="preserve">), право на жизнь, выживание и развитие (пункт </w:t>
      </w:r>
      <w:r w:rsidRPr="009B64DA">
        <w:rPr>
          <w:color w:val="FF0000"/>
        </w:rPr>
        <w:t>XX</w:t>
      </w:r>
      <w:r w:rsidRPr="009B64DA">
        <w:t xml:space="preserve">), пытки и жестокое обращение (пункт </w:t>
      </w:r>
      <w:r w:rsidRPr="009B64DA">
        <w:rPr>
          <w:color w:val="FF0000"/>
        </w:rPr>
        <w:t>XX</w:t>
      </w:r>
      <w:r w:rsidRPr="009B64DA">
        <w:t xml:space="preserve">), участие детей в вооруженных конфликтах (пункт </w:t>
      </w:r>
      <w:r w:rsidRPr="009B64DA">
        <w:rPr>
          <w:color w:val="FF0000"/>
        </w:rPr>
        <w:t>XX</w:t>
      </w:r>
      <w:r w:rsidRPr="009B64DA">
        <w:t xml:space="preserve">) и ювенальная юстиция (пункт </w:t>
      </w:r>
      <w:r w:rsidRPr="009B64DA">
        <w:rPr>
          <w:color w:val="FF0000"/>
        </w:rPr>
        <w:t>XX</w:t>
      </w:r>
      <w:r w:rsidRPr="009B64DA">
        <w:t>).</w:t>
      </w:r>
    </w:p>
    <w:p w:rsidR="00BE58FA" w:rsidRPr="009B64DA" w:rsidRDefault="00BE58FA" w:rsidP="00BE58FA">
      <w:pPr>
        <w:pStyle w:val="H1G"/>
      </w:pPr>
      <w:r w:rsidRPr="009B64DA">
        <w:tab/>
        <w:t>A.</w:t>
      </w:r>
      <w:r w:rsidRPr="009B64DA">
        <w:tab/>
        <w:t>Общие меры по осуществлению (статьи 4, 42 и 44 (6))</w:t>
      </w:r>
    </w:p>
    <w:p w:rsidR="009B64DA" w:rsidRPr="009B64DA" w:rsidRDefault="00BE58FA" w:rsidP="00BE58FA">
      <w:pPr>
        <w:pStyle w:val="H1G"/>
      </w:pPr>
      <w:r w:rsidRPr="009B64DA">
        <w:tab/>
        <w:t>B.</w:t>
      </w:r>
      <w:r w:rsidRPr="009B64DA">
        <w:tab/>
        <w:t>Определение ребенка (статья 1)</w:t>
      </w:r>
    </w:p>
    <w:p w:rsidR="00BE58FA" w:rsidRPr="009B64DA" w:rsidRDefault="00BE58FA" w:rsidP="00BE58FA">
      <w:pPr>
        <w:pStyle w:val="H1G"/>
      </w:pPr>
      <w:r w:rsidRPr="009B64DA">
        <w:tab/>
        <w:t>C.</w:t>
      </w:r>
      <w:r w:rsidRPr="009B64DA">
        <w:tab/>
        <w:t>Общие принципы (статьи</w:t>
      </w:r>
      <w:r w:rsidRPr="009B64DA">
        <w:rPr>
          <w:b w:val="0"/>
        </w:rPr>
        <w:t xml:space="preserve"> </w:t>
      </w:r>
      <w:r w:rsidRPr="009B64DA">
        <w:t>2, 3, 6 и 12)</w:t>
      </w:r>
    </w:p>
    <w:p w:rsidR="00BE58FA" w:rsidRPr="009B64DA" w:rsidRDefault="00BE58FA" w:rsidP="00BE58FA">
      <w:pPr>
        <w:pStyle w:val="H1G"/>
      </w:pPr>
      <w:r w:rsidRPr="009B64DA">
        <w:tab/>
        <w:t>D.</w:t>
      </w:r>
      <w:r w:rsidRPr="009B64DA">
        <w:tab/>
        <w:t>Гражданские права и свободы (статьи 7, 8 и 13–17)</w:t>
      </w:r>
    </w:p>
    <w:p w:rsidR="00BE58FA" w:rsidRPr="009B64DA" w:rsidRDefault="00BE58FA" w:rsidP="00BE58FA">
      <w:pPr>
        <w:pStyle w:val="H1G"/>
      </w:pPr>
      <w:r w:rsidRPr="009B64DA">
        <w:tab/>
        <w:t>E.</w:t>
      </w:r>
      <w:r w:rsidRPr="009B64DA">
        <w:tab/>
        <w:t>Насилие в отношении детей (статьи 19, 24 (3), 28 (2), 34, 37 a) и 39)</w:t>
      </w:r>
    </w:p>
    <w:p w:rsidR="00BE58FA" w:rsidRPr="009B64DA" w:rsidRDefault="00BE58FA" w:rsidP="00BE58FA">
      <w:pPr>
        <w:pStyle w:val="H1G"/>
      </w:pPr>
      <w:r w:rsidRPr="009B64DA">
        <w:tab/>
        <w:t>F.</w:t>
      </w:r>
      <w:r w:rsidRPr="009B64DA">
        <w:tab/>
        <w:t>Семейное окружение и альтернативный уход (статьи 5, 9–11, 18 (1) и (2), 20, 21, 25 и 27 (4))</w:t>
      </w:r>
    </w:p>
    <w:p w:rsidR="00BE58FA" w:rsidRPr="009B64DA" w:rsidRDefault="00BE58FA" w:rsidP="00BE58FA">
      <w:pPr>
        <w:pStyle w:val="H1G"/>
      </w:pPr>
      <w:r w:rsidRPr="009B64DA">
        <w:tab/>
        <w:t>G.</w:t>
      </w:r>
      <w:r w:rsidRPr="009B64DA">
        <w:tab/>
        <w:t>Инвалидность, базовое здравоохранение и благополучие (статьи 6, 18 (3), 23, 24, 26, 27 (1)–(3) и 33)</w:t>
      </w:r>
    </w:p>
    <w:p w:rsidR="00BE58FA" w:rsidRPr="009B64DA" w:rsidRDefault="00BE58FA" w:rsidP="00BE58FA">
      <w:pPr>
        <w:pStyle w:val="H1G"/>
      </w:pPr>
      <w:r w:rsidRPr="009B64DA">
        <w:tab/>
        <w:t>H.</w:t>
      </w:r>
      <w:r w:rsidRPr="009B64DA">
        <w:tab/>
        <w:t>Образование, досуг и культурные мероприятия (статьи 28–31)</w:t>
      </w:r>
    </w:p>
    <w:p w:rsidR="00BE58FA" w:rsidRPr="009B64DA" w:rsidRDefault="00BE58FA" w:rsidP="00BE58FA">
      <w:pPr>
        <w:pStyle w:val="H1G"/>
      </w:pPr>
      <w:r w:rsidRPr="009B64DA">
        <w:tab/>
        <w:t>I.</w:t>
      </w:r>
      <w:r w:rsidRPr="009B64DA">
        <w:tab/>
        <w:t>Особые меры защиты (статьи 22, 30, 32, 33, 35, 36, 37 b)–d) и 38–40)</w:t>
      </w:r>
    </w:p>
    <w:p w:rsidR="00BE58FA" w:rsidRPr="009B64DA" w:rsidRDefault="00BE58FA" w:rsidP="00BE58FA">
      <w:pPr>
        <w:pStyle w:val="H1G"/>
      </w:pPr>
      <w:r w:rsidRPr="009B64DA">
        <w:tab/>
        <w:t>J.</w:t>
      </w:r>
      <w:r w:rsidRPr="009B64DA">
        <w:tab/>
        <w:t>Ратификация Факультативного протокола к Конвенции, касающегося процедуры сообщений</w:t>
      </w:r>
    </w:p>
    <w:p w:rsidR="009B64DA" w:rsidRPr="009B64DA" w:rsidRDefault="00BE58FA" w:rsidP="00BE58FA">
      <w:pPr>
        <w:pStyle w:val="SingleTxtG"/>
        <w:rPr>
          <w:b/>
        </w:rPr>
      </w:pPr>
      <w:r w:rsidRPr="009B64DA">
        <w:rPr>
          <w:bCs/>
        </w:rPr>
        <w:t>5.</w:t>
      </w:r>
      <w:r w:rsidRPr="009B64DA">
        <w:rPr>
          <w:bCs/>
        </w:rPr>
        <w:tab/>
      </w:r>
      <w:r w:rsidRPr="009B64DA">
        <w:rPr>
          <w:b/>
        </w:rPr>
        <w:t>Комитет рекомендует государству-участнику в целях дальнейшего осуществления прав детей ратифицировать Факультативный протокол к Конвенции, касающийся процедуры сообщений.</w:t>
      </w:r>
    </w:p>
    <w:p w:rsidR="00BE58FA" w:rsidRPr="009B64DA" w:rsidRDefault="00BE58FA" w:rsidP="00BE58FA">
      <w:pPr>
        <w:pStyle w:val="H1G"/>
      </w:pPr>
      <w:r w:rsidRPr="009B64DA">
        <w:tab/>
        <w:t>K.</w:t>
      </w:r>
      <w:r w:rsidRPr="009B64DA">
        <w:tab/>
        <w:t>Ратификация международных договоров по правам человека</w:t>
      </w:r>
    </w:p>
    <w:p w:rsidR="00BE58FA" w:rsidRPr="009B64DA" w:rsidRDefault="00BE58FA" w:rsidP="00BE58FA">
      <w:pPr>
        <w:pStyle w:val="SingleTxtG"/>
        <w:rPr>
          <w:b/>
          <w:bCs/>
        </w:rPr>
      </w:pPr>
      <w:r w:rsidRPr="009B64DA">
        <w:rPr>
          <w:bCs/>
        </w:rPr>
        <w:t>6.</w:t>
      </w:r>
      <w:r w:rsidRPr="009B64DA">
        <w:rPr>
          <w:bCs/>
        </w:rPr>
        <w:tab/>
      </w:r>
      <w:r w:rsidRPr="009B64DA">
        <w:rPr>
          <w:b/>
          <w:bCs/>
        </w:rPr>
        <w:t xml:space="preserve">Комитет рекомендует государству-участнику в целях дальнейшего содействия осуществлению детьми своих прав </w:t>
      </w:r>
      <w:r w:rsidRPr="009B64DA">
        <w:rPr>
          <w:b/>
          <w:bCs/>
          <w:color w:val="FF0000"/>
        </w:rPr>
        <w:t>[ратифицировать] [рассмотреть возможность ратификации]</w:t>
      </w:r>
      <w:r w:rsidRPr="009B64DA">
        <w:rPr>
          <w:b/>
          <w:bCs/>
        </w:rPr>
        <w:t xml:space="preserve"> следующих основных договоров в области прав человека, участником которых оно еще не является:</w:t>
      </w:r>
    </w:p>
    <w:p w:rsidR="00BE58FA" w:rsidRPr="009B64DA" w:rsidRDefault="00BE58FA" w:rsidP="00BA759F">
      <w:pPr>
        <w:pStyle w:val="SingleTxtG"/>
        <w:ind w:firstLine="567"/>
      </w:pPr>
      <w:r w:rsidRPr="009B64DA">
        <w:tab/>
      </w:r>
      <w:r w:rsidRPr="009B64DA">
        <w:rPr>
          <w:b/>
        </w:rPr>
        <w:t>a)</w:t>
      </w:r>
      <w:r w:rsidRPr="009B64DA">
        <w:tab/>
      </w:r>
      <w:r w:rsidRPr="009B64DA">
        <w:rPr>
          <w:b/>
          <w:bCs/>
          <w:color w:val="FF0000"/>
        </w:rPr>
        <w:t>…</w:t>
      </w:r>
      <w:r w:rsidRPr="009B64DA">
        <w:t>;</w:t>
      </w:r>
    </w:p>
    <w:p w:rsidR="00BE58FA" w:rsidRPr="009B64DA" w:rsidRDefault="00BE58FA" w:rsidP="00BA759F">
      <w:pPr>
        <w:pStyle w:val="SingleTxtG"/>
        <w:ind w:firstLine="567"/>
      </w:pPr>
      <w:r w:rsidRPr="009B64DA">
        <w:tab/>
      </w:r>
      <w:r w:rsidRPr="009B64DA">
        <w:rPr>
          <w:b/>
        </w:rPr>
        <w:t>b)</w:t>
      </w:r>
      <w:r w:rsidRPr="009B64DA">
        <w:tab/>
      </w:r>
      <w:r w:rsidRPr="009B64DA">
        <w:rPr>
          <w:b/>
          <w:bCs/>
          <w:color w:val="FF0000"/>
        </w:rPr>
        <w:t>…</w:t>
      </w:r>
      <w:r w:rsidRPr="009B64DA">
        <w:t>;</w:t>
      </w:r>
    </w:p>
    <w:p w:rsidR="009B64DA" w:rsidRPr="009B64DA" w:rsidRDefault="00BE58FA" w:rsidP="00BA759F">
      <w:pPr>
        <w:pStyle w:val="SingleTxtG"/>
        <w:ind w:firstLine="567"/>
      </w:pPr>
      <w:r w:rsidRPr="009B64DA">
        <w:tab/>
      </w:r>
      <w:r w:rsidRPr="009B64DA">
        <w:rPr>
          <w:b/>
        </w:rPr>
        <w:t>c)</w:t>
      </w:r>
      <w:r w:rsidRPr="009B64DA">
        <w:tab/>
      </w:r>
      <w:r w:rsidRPr="009B64DA">
        <w:rPr>
          <w:b/>
          <w:bCs/>
          <w:color w:val="FF0000"/>
        </w:rPr>
        <w:t>…</w:t>
      </w:r>
      <w:r w:rsidRPr="009B64DA">
        <w:t>.</w:t>
      </w:r>
    </w:p>
    <w:p w:rsidR="00BE58FA" w:rsidRPr="00BA759F" w:rsidRDefault="00BE58FA" w:rsidP="00BE58FA">
      <w:pPr>
        <w:pStyle w:val="H1G"/>
        <w:rPr>
          <w:color w:val="000000" w:themeColor="text1"/>
        </w:rPr>
      </w:pPr>
      <w:r w:rsidRPr="009B64DA">
        <w:lastRenderedPageBreak/>
        <w:tab/>
        <w:t>L.</w:t>
      </w:r>
      <w:r w:rsidRPr="009B64DA">
        <w:tab/>
      </w:r>
      <w:r w:rsidRPr="009B64DA">
        <w:rPr>
          <w:color w:val="FF0000"/>
        </w:rPr>
        <w:t>[Сотрудничество с региональными органами] [Сотрудничеством с международными органами] [Сотрудничество с региональными и международными органами]</w:t>
      </w:r>
    </w:p>
    <w:p w:rsidR="009B64DA" w:rsidRPr="009B64DA" w:rsidRDefault="00BE58FA" w:rsidP="00BE58FA">
      <w:pPr>
        <w:pStyle w:val="SingleTxtG"/>
        <w:rPr>
          <w:b/>
        </w:rPr>
      </w:pPr>
      <w:r w:rsidRPr="009B64DA">
        <w:t>7.</w:t>
      </w:r>
      <w:r w:rsidRPr="009B64DA">
        <w:tab/>
      </w:r>
      <w:r w:rsidRPr="009B64DA">
        <w:rPr>
          <w:b/>
        </w:rPr>
        <w:t>Комитет рекомендует государству-участнику сотрудничать с …</w:t>
      </w:r>
    </w:p>
    <w:p w:rsidR="00BE58FA" w:rsidRPr="009B64DA" w:rsidRDefault="00BE58FA" w:rsidP="00BE58FA">
      <w:pPr>
        <w:pStyle w:val="HChG"/>
      </w:pPr>
      <w:r w:rsidRPr="009B64DA">
        <w:tab/>
        <w:t>V.</w:t>
      </w:r>
      <w:r w:rsidRPr="009B64DA">
        <w:tab/>
        <w:t>Меры по осуществлению и представление докладов</w:t>
      </w:r>
    </w:p>
    <w:p w:rsidR="00BE58FA" w:rsidRPr="009B64DA" w:rsidRDefault="00BE58FA" w:rsidP="00BE58FA">
      <w:pPr>
        <w:pStyle w:val="H1G"/>
      </w:pPr>
      <w:r w:rsidRPr="009B64DA">
        <w:tab/>
        <w:t>A.</w:t>
      </w:r>
      <w:r w:rsidRPr="009B64DA">
        <w:tab/>
        <w:t>Последующие меры и распространение информации</w:t>
      </w:r>
    </w:p>
    <w:p w:rsidR="00BE58FA" w:rsidRPr="009B64DA" w:rsidRDefault="00BE58FA" w:rsidP="00BE58FA">
      <w:pPr>
        <w:pStyle w:val="SingleTxtG"/>
        <w:rPr>
          <w:b/>
        </w:rPr>
      </w:pPr>
      <w:r w:rsidRPr="009B64DA">
        <w:t>8.</w:t>
      </w:r>
      <w:r w:rsidRPr="009B64DA">
        <w:tab/>
      </w:r>
      <w:r w:rsidRPr="009B64DA">
        <w:rPr>
          <w:b/>
        </w:rPr>
        <w:t xml:space="preserve">Комитет рекомендует государству-участнику принять все надлежащие меры для обеспечения выполнения в полном объеме рекомендаций, содержащихся в настоящих заключительных замечаниях. Комитет также рекомендует обеспечить широкое распространение </w:t>
      </w:r>
      <w:r w:rsidRPr="009B64DA">
        <w:rPr>
          <w:b/>
          <w:color w:val="FF0000"/>
        </w:rPr>
        <w:t>[первоначального] [объединенных номера периодических] [номер периодического]</w:t>
      </w:r>
      <w:r w:rsidRPr="009B64DA">
        <w:rPr>
          <w:b/>
        </w:rPr>
        <w:t xml:space="preserve"> доклада/</w:t>
      </w:r>
      <w:r w:rsidRPr="009B64DA">
        <w:rPr>
          <w:b/>
          <w:color w:val="FF0000"/>
        </w:rPr>
        <w:t>докладов</w:t>
      </w:r>
      <w:r w:rsidRPr="009B64DA">
        <w:rPr>
          <w:b/>
        </w:rPr>
        <w:t xml:space="preserve">, письменных ответов на перечень вопросов и настоящих заключительных замечаний на языках страны. </w:t>
      </w:r>
      <w:r w:rsidRPr="009B64DA">
        <w:rPr>
          <w:b/>
          <w:highlight w:val="yellow"/>
        </w:rPr>
        <w:t>[[Хотя эта формулировка содержится во всех заключительных замечаниях, в них могут быть включены дополнительные формулировки, изложенные в отдельных пунктах.]]</w:t>
      </w:r>
    </w:p>
    <w:p w:rsidR="00BE58FA" w:rsidRPr="009B64DA" w:rsidRDefault="00BE58FA" w:rsidP="00BE58FA">
      <w:pPr>
        <w:pStyle w:val="H1G"/>
      </w:pPr>
      <w:r w:rsidRPr="009B64DA">
        <w:tab/>
        <w:t>B.</w:t>
      </w:r>
      <w:r w:rsidRPr="009B64DA">
        <w:tab/>
        <w:t>Следующий доклад</w:t>
      </w:r>
    </w:p>
    <w:p w:rsidR="009B64DA" w:rsidRPr="009B64DA" w:rsidRDefault="00BE58FA" w:rsidP="00BE58FA">
      <w:pPr>
        <w:pStyle w:val="SingleTxtG"/>
        <w:rPr>
          <w:b/>
          <w:bCs/>
        </w:rPr>
      </w:pPr>
      <w:r w:rsidRPr="009B64DA">
        <w:rPr>
          <w:bCs/>
        </w:rPr>
        <w:t>9.</w:t>
      </w:r>
      <w:r w:rsidRPr="009B64DA">
        <w:rPr>
          <w:bCs/>
        </w:rPr>
        <w:tab/>
      </w:r>
      <w:r w:rsidRPr="009B64DA">
        <w:rPr>
          <w:b/>
          <w:bCs/>
        </w:rPr>
        <w:t xml:space="preserve">Комитет предлагает государству-участнику представить свой/свои </w:t>
      </w:r>
      <w:r w:rsidRPr="009B64DA">
        <w:rPr>
          <w:b/>
          <w:bCs/>
          <w:color w:val="FF0000"/>
        </w:rPr>
        <w:t>[объединенные номера периодические] [номер периодический]</w:t>
      </w:r>
      <w:r w:rsidRPr="009B64DA">
        <w:rPr>
          <w:b/>
          <w:bCs/>
        </w:rPr>
        <w:t xml:space="preserve"> доклад/</w:t>
      </w:r>
      <w:r w:rsidRPr="009B64DA">
        <w:rPr>
          <w:b/>
          <w:bCs/>
          <w:color w:val="FF0000"/>
        </w:rPr>
        <w:t xml:space="preserve">доклады </w:t>
      </w:r>
      <w:r w:rsidRPr="009B64DA">
        <w:rPr>
          <w:b/>
          <w:bCs/>
        </w:rPr>
        <w:t xml:space="preserve">к </w:t>
      </w:r>
      <w:r w:rsidRPr="009B64DA">
        <w:rPr>
          <w:b/>
          <w:bCs/>
          <w:color w:val="FF0000"/>
        </w:rPr>
        <w:t>дата</w:t>
      </w:r>
      <w:r w:rsidRPr="009B64DA">
        <w:rPr>
          <w:b/>
          <w:bCs/>
        </w:rPr>
        <w:t xml:space="preserve"> и включить в них информацию об осуществлении настоящих заключительных замечаний. Доклад должен соответствовать согласованным руководящим принципам подготовки докладов по конкретным договорам, принятым Комитетом 31 января 2014 года (</w:t>
      </w:r>
      <w:smartTag w:uri="urn:schemas-microsoft-com:office:smarttags" w:element="stockticker">
        <w:r w:rsidRPr="009B64DA">
          <w:rPr>
            <w:b/>
            <w:bCs/>
          </w:rPr>
          <w:t>CRC</w:t>
        </w:r>
      </w:smartTag>
      <w:r w:rsidRPr="009B64DA">
        <w:rPr>
          <w:b/>
          <w:bCs/>
        </w:rPr>
        <w:t>/C/58/Rev.3) и по объему не должен превышать 21 200 слов (см. резолюцию 68/268 Генеральной Ассамблеи, пункт 16). В случае представления доклада, объем которого превышает установленные ограничения, государству-участнику будет предложено сократить доклад в соответствии с положениями вышеупомянутой резолюции. Если государство-участник не будет в состоянии пересмотреть и вновь представить доклад, то перевод доклада для его последующего рассмотрения договорным органов не может быть гарантирован.</w:t>
      </w:r>
    </w:p>
    <w:p w:rsidR="00BE58FA" w:rsidRPr="009B64DA" w:rsidRDefault="00BE58FA" w:rsidP="00BE58FA">
      <w:pPr>
        <w:pStyle w:val="SingleTxtG"/>
        <w:rPr>
          <w:b/>
          <w:bCs/>
        </w:rPr>
      </w:pPr>
      <w:r w:rsidRPr="009B64DA">
        <w:rPr>
          <w:bCs/>
        </w:rPr>
        <w:t>10.</w:t>
      </w:r>
      <w:r w:rsidRPr="009B64DA">
        <w:rPr>
          <w:bCs/>
        </w:rPr>
        <w:tab/>
      </w:r>
      <w:r w:rsidRPr="009B64DA">
        <w:rPr>
          <w:b/>
          <w:bCs/>
        </w:rPr>
        <w:t>Комитет также предлагает государству-участнику представить обновленный базовый документ объемом не более 42 400 слов в соответствии с требованиями в отношении подготовки общего базового документа, которые содержатся в согласованных руководящих принципах представления докладов согласно международным договорам о правах человека, включая руководящие принципы подготовки общего базового документа и документов по конкретным договорам (см. HRI/GEN/2/Rev.6, глава I) и пункт 16 резолюции 68/268 Генеральной Ассамблеи.</w:t>
      </w:r>
    </w:p>
    <w:p w:rsidR="009B64DA" w:rsidRPr="009B64DA" w:rsidRDefault="00BE58FA" w:rsidP="00BA759F">
      <w:pPr>
        <w:pStyle w:val="SingleTxtG"/>
        <w:spacing w:before="240" w:after="0"/>
        <w:jc w:val="center"/>
        <w:rPr>
          <w:lang w:eastAsia="ru-RU"/>
        </w:rPr>
      </w:pPr>
      <w:r w:rsidRPr="009B64DA">
        <w:rPr>
          <w:u w:val="single"/>
        </w:rPr>
        <w:tab/>
      </w:r>
      <w:r w:rsidRPr="009B64DA">
        <w:rPr>
          <w:u w:val="single"/>
        </w:rPr>
        <w:tab/>
      </w:r>
      <w:r w:rsidRPr="009B64DA">
        <w:rPr>
          <w:u w:val="single"/>
        </w:rPr>
        <w:tab/>
      </w:r>
      <w:r w:rsidR="00BA759F">
        <w:rPr>
          <w:u w:val="single"/>
        </w:rPr>
        <w:tab/>
      </w:r>
    </w:p>
    <w:sectPr w:rsidR="009B64DA" w:rsidRPr="009B64DA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BA759F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BA759F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BE58FA" w:rsidRPr="004A2DD0" w:rsidRDefault="00BE58FA" w:rsidP="00BE58FA">
      <w:pPr>
        <w:pStyle w:val="Notedebasdepage"/>
        <w:rPr>
          <w:lang w:val="ru-RU"/>
        </w:rPr>
      </w:pPr>
      <w:r>
        <w:tab/>
      </w:r>
      <w:r w:rsidRPr="00ED5E8F">
        <w:rPr>
          <w:rStyle w:val="Appelnotedebasdep"/>
          <w:sz w:val="20"/>
          <w:vertAlign w:val="baseline"/>
          <w:lang w:val="ru-RU"/>
        </w:rPr>
        <w:t>*</w:t>
      </w:r>
      <w:r w:rsidRPr="004A2DD0">
        <w:rPr>
          <w:sz w:val="20"/>
          <w:lang w:val="ru-RU"/>
        </w:rPr>
        <w:tab/>
      </w:r>
      <w:r w:rsidRPr="00C81926">
        <w:rPr>
          <w:szCs w:val="18"/>
          <w:lang w:val="ru-RU"/>
        </w:rPr>
        <w:t xml:space="preserve">Приняты Комитетом на его </w:t>
      </w:r>
      <w:r w:rsidR="009B64DA" w:rsidRPr="009B64DA">
        <w:rPr>
          <w:color w:val="FF0000"/>
          <w:szCs w:val="18"/>
          <w:lang w:val="fr-CH"/>
        </w:rPr>
        <w:t>[</w:t>
      </w:r>
      <w:r w:rsidRPr="00C81926">
        <w:rPr>
          <w:color w:val="FF0000"/>
          <w:szCs w:val="18"/>
          <w:lang w:val="ru-RU"/>
        </w:rPr>
        <w:t>номер</w:t>
      </w:r>
      <w:r w:rsidR="009B64DA">
        <w:rPr>
          <w:color w:val="FF0000"/>
          <w:szCs w:val="18"/>
          <w:lang w:val="fr-CH"/>
        </w:rPr>
        <w:t>]</w:t>
      </w:r>
      <w:r w:rsidRPr="00C81926">
        <w:rPr>
          <w:color w:val="FF0000"/>
          <w:szCs w:val="18"/>
          <w:lang w:val="ru-RU"/>
        </w:rPr>
        <w:t xml:space="preserve"> </w:t>
      </w:r>
      <w:r w:rsidRPr="00C81926">
        <w:rPr>
          <w:szCs w:val="18"/>
          <w:lang w:val="ru-RU"/>
        </w:rPr>
        <w:t>сессии (</w:t>
      </w:r>
      <w:r w:rsidRPr="00C81926">
        <w:rPr>
          <w:color w:val="FF0000"/>
          <w:szCs w:val="18"/>
          <w:lang w:val="ru-RU"/>
        </w:rPr>
        <w:t>даты</w:t>
      </w:r>
      <w:r w:rsidRPr="00C81926">
        <w:rPr>
          <w:szCs w:val="18"/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0B61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B64DA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908BF"/>
    <w:rsid w:val="00BA759F"/>
    <w:rsid w:val="00BC18B2"/>
    <w:rsid w:val="00BD33EE"/>
    <w:rsid w:val="00BE58FA"/>
    <w:rsid w:val="00C106D6"/>
    <w:rsid w:val="00C23549"/>
    <w:rsid w:val="00C33340"/>
    <w:rsid w:val="00C60F0C"/>
    <w:rsid w:val="00C805C9"/>
    <w:rsid w:val="00C84828"/>
    <w:rsid w:val="00C84B71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8673"/>
    <o:shapelayout v:ext="edit">
      <o:idmap v:ext="edit" data="1"/>
    </o:shapelayout>
  </w:shapeDefaults>
  <w:decimalSymbol w:val=","/>
  <w:listSeparator w:val=";"/>
  <w14:docId w14:val="0E083AF4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84B71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C84B71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C84B7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C84B7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C84B7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C84B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C84B71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C84B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C84B71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C84B71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C84B7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C84B71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C84B7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C84B71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C84B71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C84B71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C84B71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C84B71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C84B71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C84B71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C84B71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C84B71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C84B71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C84B71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C84B71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C84B71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C84B71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C84B71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C84B71"/>
  </w:style>
  <w:style w:type="character" w:customStyle="1" w:styleId="NotedefinCar">
    <w:name w:val="Note de fin Car"/>
    <w:aliases w:val="2_G Car"/>
    <w:basedOn w:val="Policepardfaut"/>
    <w:link w:val="Notedefin"/>
    <w:rsid w:val="00C84B71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C84B71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C84B71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C84B71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7BBE9-9314-4B3C-93BF-15CC6919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703</Words>
  <Characters>5220</Characters>
  <Application>Microsoft Office Word</Application>
  <DocSecurity>0</DocSecurity>
  <Lines>43</Lines>
  <Paragraphs>11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4</cp:revision>
  <cp:lastPrinted>2017-07-04T10:34:00Z</cp:lastPrinted>
  <dcterms:created xsi:type="dcterms:W3CDTF">2018-05-18T13:15:00Z</dcterms:created>
  <dcterms:modified xsi:type="dcterms:W3CDTF">2018-06-19T09:41:00Z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