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BC588D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</w:t>
            </w:r>
            <w:r w:rsidR="00BC588D">
              <w:rPr>
                <w:sz w:val="40"/>
                <w:szCs w:val="20"/>
              </w:rPr>
              <w:t>PD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9404A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F302BC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C588D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>
              <w:rPr>
                <w:rFonts w:hint="cs"/>
                <w:b/>
                <w:bCs/>
                <w:sz w:val="56"/>
                <w:szCs w:val="56"/>
                <w:rtl/>
              </w:rPr>
              <w:t xml:space="preserve">اتفاقية حقوق الأشخاص </w:t>
            </w:r>
            <w:r w:rsidR="0048656B">
              <w:rPr>
                <w:b/>
                <w:bCs/>
                <w:sz w:val="56"/>
                <w:szCs w:val="56"/>
                <w:rtl/>
              </w:rPr>
              <w:br/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ذوي الإعاقة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="00F9404A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F9404A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48656B" w:rsidRPr="00FA7EA4" w:rsidRDefault="0048656B" w:rsidP="0048656B">
      <w:pPr>
        <w:spacing w:before="120" w:line="380" w:lineRule="exact"/>
        <w:rPr>
          <w:b/>
          <w:bCs/>
          <w:sz w:val="30"/>
          <w:szCs w:val="36"/>
          <w:rtl/>
          <w:lang w:eastAsia="zh-TW"/>
        </w:rPr>
      </w:pPr>
      <w:r w:rsidRPr="00FA7EA4">
        <w:rPr>
          <w:b/>
          <w:bCs/>
          <w:sz w:val="26"/>
          <w:szCs w:val="36"/>
          <w:rtl/>
          <w:lang w:eastAsia="zh-TW"/>
        </w:rPr>
        <w:t>اللجنة المعنية بحقوق الأشخاص ذوي الإعاقة</w:t>
      </w:r>
    </w:p>
    <w:p w:rsidR="0048656B" w:rsidRPr="00AB221A" w:rsidRDefault="0048656B" w:rsidP="0048656B">
      <w:pPr>
        <w:pStyle w:val="HCh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 xml:space="preserve">قائمة المسائل المتصلة بالتقرير </w:t>
      </w:r>
      <w:r w:rsidRPr="00FA7EA4">
        <w:rPr>
          <w:color w:val="FF0000"/>
          <w:rtl/>
          <w:lang w:eastAsia="zh-TW"/>
        </w:rPr>
        <w:t>[الأولي] [الدوري [الرقم]] [الجامع للتقارير الدورية [الرقم]]</w:t>
      </w:r>
      <w:r w:rsidRPr="00AB221A">
        <w:rPr>
          <w:rtl/>
          <w:lang w:eastAsia="zh-TW"/>
        </w:rPr>
        <w:t xml:space="preserve"> لـ </w:t>
      </w:r>
      <w:r w:rsidRPr="00FA7EA4">
        <w:rPr>
          <w:color w:val="FF0000"/>
          <w:rtl/>
          <w:lang w:eastAsia="zh-TW"/>
        </w:rPr>
        <w:t>[البلد]</w:t>
      </w:r>
      <w:r w:rsidRPr="00FA7EA4">
        <w:rPr>
          <w:rStyle w:val="Appelnotedebasdep"/>
          <w:sz w:val="20"/>
          <w:vertAlign w:val="baseline"/>
          <w:rtl/>
          <w:lang w:eastAsia="zh-TW"/>
        </w:rPr>
        <w:footnoteReference w:customMarkFollows="1" w:id="1"/>
        <w:t>*</w:t>
      </w:r>
    </w:p>
    <w:p w:rsidR="0048656B" w:rsidRPr="00AB221A" w:rsidRDefault="0048656B" w:rsidP="0048656B">
      <w:pPr>
        <w:pStyle w:val="H1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ألف-</w:t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 xml:space="preserve">الغرض والالتزامات العامة (المواد 1-4) </w:t>
      </w:r>
    </w:p>
    <w:p w:rsidR="0048656B" w:rsidRPr="00AB221A" w:rsidRDefault="0048656B" w:rsidP="0048656B">
      <w:pPr>
        <w:pStyle w:val="H1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باء-</w:t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حقوق محددة (المواد 5-30)</w:t>
      </w:r>
      <w:bookmarkStart w:id="0" w:name="_GoBack"/>
      <w:bookmarkEnd w:id="0"/>
    </w:p>
    <w:p w:rsidR="0048656B" w:rsidRPr="00E254FD" w:rsidRDefault="0048656B" w:rsidP="0048656B">
      <w:pPr>
        <w:pStyle w:val="H23GA"/>
        <w:rPr>
          <w:rFonts w:eastAsia="Calibri"/>
          <w:rtl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  <w:t>ا</w:t>
      </w:r>
      <w:r w:rsidRPr="00AB221A">
        <w:rPr>
          <w:rtl/>
          <w:lang w:eastAsia="zh-TW"/>
        </w:rPr>
        <w:t>لمساواة وعدم التمييز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Fonts w:cs="Times New Roman" w:hint="cs"/>
          <w:rtl/>
          <w:lang w:eastAsia="zh-TW"/>
        </w:rPr>
        <w:t>‬</w:t>
      </w:r>
      <w:r w:rsidRPr="00AB221A">
        <w:rPr>
          <w:rtl/>
          <w:lang w:eastAsia="zh-TW"/>
        </w:rPr>
        <w:t xml:space="preserve"> (</w:t>
      </w:r>
      <w:r w:rsidRPr="00AB221A">
        <w:rPr>
          <w:rFonts w:ascii="Traditional Arabic" w:hAnsi="Traditional Arabic" w:hint="cs"/>
          <w:rtl/>
          <w:lang w:eastAsia="zh-TW"/>
        </w:rPr>
        <w:t>المادة</w:t>
      </w:r>
      <w:r w:rsidRPr="00AB221A">
        <w:rPr>
          <w:rtl/>
          <w:lang w:eastAsia="zh-TW"/>
        </w:rPr>
        <w:t xml:space="preserve"> 5)</w:t>
      </w:r>
      <w:r>
        <w:rPr>
          <w:rFonts w:ascii="Calibri" w:eastAsia="Calibri" w:hAnsi="Calibri" w:cs="Calibri"/>
          <w:sz w:val="22"/>
          <w:rtl/>
          <w:lang w:eastAsia="zh-TW"/>
        </w:rPr>
        <w:t xml:space="preserve"> </w:t>
      </w:r>
      <w:r w:rsidRPr="00057C89">
        <w:rPr>
          <w:highlight w:val="yellow"/>
          <w:rtl/>
        </w:rPr>
        <w:t xml:space="preserve">[[لا تُدرَج كل العناوين الفرعية المكتوبة بحرف الطباعة _ </w:t>
      </w:r>
      <w:r w:rsidRPr="00057C89">
        <w:rPr>
          <w:highlight w:val="yellow"/>
        </w:rPr>
        <w:t>H_2/3_GA</w:t>
      </w:r>
      <w:r w:rsidRPr="00057C89">
        <w:rPr>
          <w:highlight w:val="yellow"/>
          <w:rtl/>
        </w:rPr>
        <w:t xml:space="preserve"> (الحرف العريض بنط 15) في جميع الملاحظات الختامية.]]</w:t>
      </w:r>
    </w:p>
    <w:p w:rsidR="0048656B" w:rsidRPr="00AB221A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 xml:space="preserve">النساء ذوات الإعاقة (المادة 6) </w:t>
      </w:r>
    </w:p>
    <w:p w:rsidR="0048656B" w:rsidRPr="00AB221A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الأطفال ذوو الإعاقة (المادة 7)</w:t>
      </w:r>
    </w:p>
    <w:p w:rsidR="0048656B" w:rsidRPr="00AB221A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إذكاء الوعي (المادة 8)</w:t>
      </w:r>
    </w:p>
    <w:p w:rsidR="0048656B" w:rsidRPr="00AB221A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إمكانية الوصول (المادة 9)</w:t>
      </w:r>
    </w:p>
    <w:p w:rsidR="0048656B" w:rsidRPr="00AB221A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الحق في الحياة (المادة 10)</w:t>
      </w:r>
    </w:p>
    <w:p w:rsidR="0048656B" w:rsidRPr="00AB221A" w:rsidRDefault="0048656B" w:rsidP="0048656B">
      <w:pPr>
        <w:pStyle w:val="H23GA"/>
        <w:keepNext w:val="0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حالات الخطر والطوارئ الإنسانية (المادة 11)</w:t>
      </w:r>
    </w:p>
    <w:p w:rsidR="0048656B" w:rsidRPr="00FA7EA4" w:rsidRDefault="0048656B" w:rsidP="0048656B">
      <w:pPr>
        <w:pStyle w:val="H23GA"/>
        <w:keepNext w:val="0"/>
        <w:rPr>
          <w:rFonts w:ascii="Times New Roman Bold" w:eastAsia="Calibri" w:hAnsi="Times New Roman Bold"/>
          <w:spacing w:val="-4"/>
          <w:rtl/>
          <w:lang w:eastAsia="zh-TW"/>
        </w:rPr>
      </w:pPr>
      <w:r w:rsidRPr="00FA7EA4">
        <w:rPr>
          <w:rFonts w:ascii="Times New Roman Bold" w:hAnsi="Times New Roman Bold" w:hint="cs"/>
          <w:spacing w:val="-4"/>
          <w:rtl/>
          <w:lang w:eastAsia="zh-TW"/>
        </w:rPr>
        <w:tab/>
      </w:r>
      <w:r w:rsidRPr="00FA7EA4">
        <w:rPr>
          <w:rFonts w:ascii="Times New Roman Bold" w:hAnsi="Times New Roman Bold" w:hint="cs"/>
          <w:spacing w:val="-4"/>
          <w:rtl/>
          <w:lang w:eastAsia="zh-TW"/>
        </w:rPr>
        <w:tab/>
      </w:r>
      <w:r w:rsidRPr="00FA7EA4">
        <w:rPr>
          <w:rFonts w:ascii="Times New Roman Bold" w:hAnsi="Times New Roman Bold"/>
          <w:spacing w:val="-4"/>
          <w:rtl/>
          <w:lang w:eastAsia="zh-TW"/>
        </w:rPr>
        <w:t xml:space="preserve">الاعتراف بالأشخاص ذوي الإعاقة على قدم المساواة مع الآخرين أمام القانون (المادة 12) </w:t>
      </w:r>
    </w:p>
    <w:p w:rsidR="0048656B" w:rsidRPr="00AB221A" w:rsidRDefault="0048656B" w:rsidP="0048656B">
      <w:pPr>
        <w:pStyle w:val="H23GA"/>
        <w:keepNext w:val="0"/>
        <w:rPr>
          <w:rFonts w:eastAsia="Calibri" w:cs="Calibri"/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إمكانية اللجوء إلى القضاء (المادة 13)</w:t>
      </w:r>
    </w:p>
    <w:p w:rsidR="0048656B" w:rsidRPr="00AB221A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lastRenderedPageBreak/>
        <w:tab/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حرية الشخص وأمنه (المادة 14)</w:t>
      </w:r>
    </w:p>
    <w:p w:rsidR="0048656B" w:rsidRPr="00FA7EA4" w:rsidRDefault="0048656B" w:rsidP="0048656B">
      <w:pPr>
        <w:pStyle w:val="H23GA"/>
        <w:rPr>
          <w:rFonts w:ascii="Times New Roman Bold" w:hAnsi="Times New Roman Bold"/>
          <w:spacing w:val="-4"/>
          <w:rtl/>
          <w:lang w:eastAsia="zh-TW"/>
        </w:rPr>
      </w:pPr>
      <w:r w:rsidRPr="00FA7EA4">
        <w:rPr>
          <w:rFonts w:ascii="Times New Roman Bold" w:hAnsi="Times New Roman Bold" w:hint="cs"/>
          <w:spacing w:val="-4"/>
          <w:rtl/>
          <w:lang w:eastAsia="zh-TW"/>
        </w:rPr>
        <w:tab/>
      </w:r>
      <w:r w:rsidRPr="00FA7EA4">
        <w:rPr>
          <w:rFonts w:ascii="Times New Roman Bold" w:hAnsi="Times New Roman Bold" w:hint="cs"/>
          <w:spacing w:val="-4"/>
          <w:rtl/>
          <w:lang w:eastAsia="zh-TW"/>
        </w:rPr>
        <w:tab/>
      </w:r>
      <w:r w:rsidRPr="00FA7EA4">
        <w:rPr>
          <w:rFonts w:ascii="Times New Roman Bold" w:hAnsi="Times New Roman Bold"/>
          <w:spacing w:val="-4"/>
          <w:rtl/>
          <w:lang w:eastAsia="zh-TW"/>
        </w:rPr>
        <w:t>عدم التعرض للتعذيب أو المعاملة أو العقوبة القاسية أو اللاإنسانية أو المهينة (المادة 15)</w:t>
      </w:r>
    </w:p>
    <w:p w:rsidR="0048656B" w:rsidRPr="00AB221A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عدم التعرض للاستغلال والعنف والاعتداء (المادة 16)</w:t>
      </w:r>
    </w:p>
    <w:p w:rsidR="0048656B" w:rsidRPr="00AB221A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 xml:space="preserve">حماية السلامة الشخصية (المادة 17) </w:t>
      </w:r>
    </w:p>
    <w:p w:rsidR="0048656B" w:rsidRPr="00AB221A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حرية التنقل والجنسية (المادة 18)</w:t>
      </w:r>
    </w:p>
    <w:p w:rsidR="0048656B" w:rsidRPr="00AB221A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 xml:space="preserve">العيش المستقل والإدماج في المجتمع (المادة 19) </w:t>
      </w:r>
    </w:p>
    <w:p w:rsidR="0048656B" w:rsidRPr="00AB221A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التنقل الشخصي (المادة 20)</w:t>
      </w:r>
    </w:p>
    <w:p w:rsidR="0048656B" w:rsidRPr="00AB221A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AB221A">
        <w:rPr>
          <w:rtl/>
          <w:lang w:eastAsia="zh-TW"/>
        </w:rPr>
        <w:t>حرية التعبير والرأي، والحصول على معلومات (المادة 21)</w:t>
      </w:r>
    </w:p>
    <w:p w:rsidR="0048656B" w:rsidRPr="00057C89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057C89">
        <w:rPr>
          <w:rtl/>
          <w:lang w:eastAsia="zh-TW"/>
        </w:rPr>
        <w:t>احترام الخصوصية (المادة 22)</w:t>
      </w:r>
    </w:p>
    <w:p w:rsidR="0048656B" w:rsidRPr="00057C89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057C89">
        <w:rPr>
          <w:rtl/>
          <w:lang w:eastAsia="zh-TW"/>
        </w:rPr>
        <w:t>احترام البيت والأسرة (المادة 23)</w:t>
      </w:r>
    </w:p>
    <w:p w:rsidR="0048656B" w:rsidRPr="00057C89" w:rsidRDefault="0048656B" w:rsidP="0048656B">
      <w:pPr>
        <w:pStyle w:val="H23GA"/>
        <w:rPr>
          <w:rFonts w:eastAsia="Calibri"/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057C89">
        <w:rPr>
          <w:rtl/>
          <w:lang w:eastAsia="zh-TW"/>
        </w:rPr>
        <w:t>التعليم (المادة 24)</w:t>
      </w:r>
    </w:p>
    <w:p w:rsidR="0048656B" w:rsidRPr="00057C89" w:rsidRDefault="0048656B" w:rsidP="0048656B">
      <w:pPr>
        <w:pStyle w:val="H23GA"/>
        <w:rPr>
          <w:rFonts w:eastAsia="Calibri"/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057C89">
        <w:rPr>
          <w:rtl/>
          <w:lang w:eastAsia="zh-TW"/>
        </w:rPr>
        <w:t>الصحة (المادة 25)</w:t>
      </w:r>
    </w:p>
    <w:p w:rsidR="0048656B" w:rsidRPr="00057C89" w:rsidRDefault="0048656B" w:rsidP="0048656B">
      <w:pPr>
        <w:pStyle w:val="H23GA"/>
        <w:rPr>
          <w:rFonts w:eastAsia="Calibri"/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057C89">
        <w:rPr>
          <w:rtl/>
          <w:lang w:eastAsia="zh-TW"/>
        </w:rPr>
        <w:t>التأهيل وإعادة التأهيل (المادة 26)</w:t>
      </w:r>
    </w:p>
    <w:p w:rsidR="0048656B" w:rsidRPr="00057C89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057C89">
        <w:rPr>
          <w:rtl/>
          <w:lang w:eastAsia="zh-TW"/>
        </w:rPr>
        <w:t xml:space="preserve">العمل والعمالة (المادة 27) </w:t>
      </w:r>
    </w:p>
    <w:p w:rsidR="0048656B" w:rsidRPr="00057C89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057C89">
        <w:rPr>
          <w:rtl/>
          <w:lang w:eastAsia="zh-TW"/>
        </w:rPr>
        <w:t xml:space="preserve">مستوى المعيشة اللائق والحماية الاجتماعية (المادة 28) </w:t>
      </w:r>
    </w:p>
    <w:p w:rsidR="0048656B" w:rsidRPr="00E618B5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E618B5">
        <w:rPr>
          <w:rtl/>
          <w:lang w:eastAsia="zh-TW"/>
        </w:rPr>
        <w:t>المشاركة في الحياة السياسية والعامة (المادة 29)</w:t>
      </w:r>
    </w:p>
    <w:p w:rsidR="0048656B" w:rsidRPr="00E618B5" w:rsidRDefault="0048656B" w:rsidP="0048656B">
      <w:pPr>
        <w:pStyle w:val="H23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E618B5">
        <w:rPr>
          <w:rtl/>
          <w:lang w:eastAsia="zh-TW"/>
        </w:rPr>
        <w:t>المشاركة في الحياة الثقافية وأنشطة الترفيه والتسلية والرياضة (المادة 30)</w:t>
      </w:r>
    </w:p>
    <w:p w:rsidR="0048656B" w:rsidRPr="00E618B5" w:rsidRDefault="0048656B" w:rsidP="0048656B">
      <w:pPr>
        <w:pStyle w:val="H1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E618B5">
        <w:rPr>
          <w:rtl/>
          <w:lang w:eastAsia="zh-TW"/>
        </w:rPr>
        <w:t>جيم-</w:t>
      </w:r>
      <w:r>
        <w:rPr>
          <w:rFonts w:hint="cs"/>
          <w:rtl/>
          <w:lang w:eastAsia="zh-TW"/>
        </w:rPr>
        <w:tab/>
      </w:r>
      <w:r>
        <w:rPr>
          <w:rtl/>
          <w:lang w:eastAsia="zh-TW"/>
        </w:rPr>
        <w:t>التزامات محددة (المواد 31</w:t>
      </w:r>
      <w:r w:rsidRPr="00E618B5">
        <w:rPr>
          <w:rtl/>
          <w:lang w:eastAsia="zh-TW"/>
        </w:rPr>
        <w:t>-33)</w:t>
      </w:r>
    </w:p>
    <w:p w:rsidR="0048656B" w:rsidRPr="00E618B5" w:rsidRDefault="0048656B" w:rsidP="0048656B">
      <w:pPr>
        <w:pStyle w:val="H23GA"/>
        <w:rPr>
          <w:rFonts w:eastAsia="Calibri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618B5">
        <w:rPr>
          <w:rtl/>
        </w:rPr>
        <w:t>جمع الإحصاءات والبيانات (المادة 31)</w:t>
      </w:r>
    </w:p>
    <w:p w:rsidR="0048656B" w:rsidRPr="00E618B5" w:rsidRDefault="0048656B" w:rsidP="0048656B">
      <w:pPr>
        <w:pStyle w:val="H23GA"/>
        <w:rPr>
          <w:rFonts w:eastAsia="Calibri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618B5">
        <w:rPr>
          <w:rtl/>
        </w:rPr>
        <w:t xml:space="preserve">التعاون الدولي (المادة 32) </w:t>
      </w:r>
    </w:p>
    <w:p w:rsidR="0048656B" w:rsidRDefault="0048656B" w:rsidP="0048656B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618B5">
        <w:rPr>
          <w:rtl/>
        </w:rPr>
        <w:t>التنفيذ والرصد على الصعيد الوطني (المادة 33)</w:t>
      </w:r>
    </w:p>
    <w:p w:rsidR="0048656B" w:rsidRPr="00FA7EA4" w:rsidRDefault="0048656B" w:rsidP="0048656B">
      <w:pPr>
        <w:spacing w:before="120"/>
        <w:jc w:val="center"/>
        <w:rPr>
          <w:u w:val="single"/>
          <w:rtl/>
          <w:lang w:eastAsia="ar-SA"/>
        </w:rPr>
      </w:pPr>
      <w:r>
        <w:rPr>
          <w:u w:val="single"/>
          <w:rtl/>
          <w:lang w:eastAsia="ar-SA"/>
        </w:rPr>
        <w:tab/>
      </w:r>
      <w:r>
        <w:rPr>
          <w:u w:val="single"/>
          <w:rtl/>
          <w:lang w:eastAsia="ar-SA"/>
        </w:rPr>
        <w:tab/>
      </w:r>
      <w:r>
        <w:rPr>
          <w:u w:val="single"/>
          <w:rtl/>
          <w:lang w:eastAsia="ar-SA"/>
        </w:rPr>
        <w:tab/>
      </w:r>
    </w:p>
    <w:sectPr w:rsidR="0048656B" w:rsidRPr="00FA7EA4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9404A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F9404A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F9404A">
      <w:rPr>
        <w:b/>
        <w:noProof/>
        <w:sz w:val="18"/>
        <w:lang w:val="en-US"/>
      </w:rPr>
      <w:t>2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D84435">
      <w:fldChar w:fldCharType="begin"/>
    </w:r>
    <w:r w:rsidR="00D84435">
      <w:instrText xml:space="preserve"> DOCPROPERTY  gdocf  \* MERGEFORMAT </w:instrText>
    </w:r>
    <w:r w:rsidR="00D84435">
      <w:fldChar w:fldCharType="separate"/>
    </w:r>
    <w:proofErr w:type="spellStart"/>
    <w:r w:rsidR="00F9404A">
      <w:t>gdocf</w:t>
    </w:r>
    <w:proofErr w:type="spellEnd"/>
    <w:r w:rsidR="00D8443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F9404A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F9404A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48656B" w:rsidRPr="00FA7EA4" w:rsidRDefault="0048656B" w:rsidP="0048656B">
      <w:pPr>
        <w:pStyle w:val="FootnoteText1"/>
        <w:spacing w:after="240"/>
      </w:pPr>
      <w:r>
        <w:rPr>
          <w:rtl/>
        </w:rPr>
        <w:t>*</w:t>
      </w:r>
      <w:r>
        <w:rPr>
          <w:rtl/>
        </w:rPr>
        <w:tab/>
      </w:r>
      <w:r>
        <w:rPr>
          <w:rtl/>
          <w:lang w:eastAsia="zh-TW"/>
        </w:rPr>
        <w:t xml:space="preserve">اعتمدها الفريق العامل لما قبل الدورة في دورته </w:t>
      </w:r>
      <w:r w:rsidRPr="00AB221A">
        <w:rPr>
          <w:color w:val="FF0000"/>
          <w:rtl/>
          <w:lang w:eastAsia="zh-TW"/>
        </w:rPr>
        <w:t xml:space="preserve">الرقم </w:t>
      </w:r>
      <w:r>
        <w:rPr>
          <w:rtl/>
          <w:lang w:eastAsia="zh-TW"/>
        </w:rPr>
        <w:t>(</w:t>
      </w:r>
      <w:r w:rsidRPr="00AB221A">
        <w:rPr>
          <w:color w:val="FF0000"/>
          <w:rtl/>
          <w:lang w:eastAsia="zh-TW"/>
        </w:rPr>
        <w:t>التواريخ</w:t>
      </w:r>
      <w:r>
        <w:rPr>
          <w:rtl/>
          <w:lang w:eastAsia="zh-TW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9404A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9404A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9830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8656B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2689A"/>
    <w:rsid w:val="00B44590"/>
    <w:rsid w:val="00B477A4"/>
    <w:rsid w:val="00B54045"/>
    <w:rsid w:val="00B75EE3"/>
    <w:rsid w:val="00BC588D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CD63DA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254FD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302BC"/>
    <w:rsid w:val="00F33063"/>
    <w:rsid w:val="00F56723"/>
    <w:rsid w:val="00F763B4"/>
    <w:rsid w:val="00F900C3"/>
    <w:rsid w:val="00F9404A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8305"/>
    <o:shapelayout v:ext="edit">
      <o:idmap v:ext="edit" data="1"/>
    </o:shapelayout>
  </w:shapeDefaults>
  <w:decimalSymbol w:val=","/>
  <w:listSeparator w:val=";"/>
  <w14:docId w14:val="1588EAF6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4E1B9-F270-49DB-87B7-715DBF92E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35</cp:revision>
  <cp:lastPrinted>2018-06-25T07:46:00Z</cp:lastPrinted>
  <dcterms:created xsi:type="dcterms:W3CDTF">2018-06-22T08:39:00Z</dcterms:created>
  <dcterms:modified xsi:type="dcterms:W3CDTF">2018-06-25T07:57:00Z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