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62072" w:rsidP="00BC588D">
            <w:pPr>
              <w:bidi w:val="0"/>
              <w:spacing w:after="20"/>
              <w:jc w:val="left"/>
              <w:rPr>
                <w:szCs w:val="20"/>
                <w:lang w:val="fr-FR"/>
              </w:rPr>
            </w:pPr>
            <w:r>
              <w:rPr>
                <w:sz w:val="40"/>
                <w:szCs w:val="20"/>
              </w:rPr>
              <w:t>C</w:t>
            </w:r>
            <w:r w:rsidR="001467EC">
              <w:rPr>
                <w:sz w:val="40"/>
                <w:szCs w:val="20"/>
              </w:rPr>
              <w:t>R</w:t>
            </w:r>
            <w:r w:rsidR="00BC588D">
              <w:rPr>
                <w:sz w:val="40"/>
                <w:szCs w:val="20"/>
              </w:rPr>
              <w:t>PD</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9404A">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562772"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BF3BEF" w:rsidRPr="0045649E" w:rsidRDefault="00BC588D" w:rsidP="00BF3BEF">
            <w:pPr>
              <w:spacing w:before="120" w:after="40" w:line="640" w:lineRule="exact"/>
              <w:jc w:val="left"/>
              <w:rPr>
                <w:b/>
                <w:bCs/>
                <w:sz w:val="50"/>
                <w:szCs w:val="50"/>
                <w:rtl/>
              </w:rPr>
            </w:pPr>
            <w:r>
              <w:rPr>
                <w:rFonts w:hint="cs"/>
                <w:b/>
                <w:bCs/>
                <w:sz w:val="56"/>
                <w:szCs w:val="56"/>
                <w:rtl/>
              </w:rPr>
              <w:t xml:space="preserve">اتفاقية حقوق الأشخاص </w:t>
            </w:r>
            <w:r w:rsidR="0048656B">
              <w:rPr>
                <w:b/>
                <w:bCs/>
                <w:sz w:val="56"/>
                <w:szCs w:val="56"/>
                <w:rtl/>
              </w:rPr>
              <w:br/>
            </w:r>
            <w:r>
              <w:rPr>
                <w:rFonts w:hint="cs"/>
                <w:b/>
                <w:bCs/>
                <w:sz w:val="56"/>
                <w:szCs w:val="56"/>
                <w:rtl/>
              </w:rPr>
              <w:t>ذوي الإعاقة</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00F9404A">
              <w:rPr>
                <w:lang w:val="fr-CH"/>
              </w:rPr>
              <w:t>dist</w:t>
            </w:r>
            <w:proofErr w:type="spellEnd"/>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00F9404A">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00F9404A">
              <w:rPr>
                <w:lang w:val="fr-CH"/>
              </w:rPr>
              <w:t>tlang</w:t>
            </w:r>
            <w:proofErr w:type="spellEnd"/>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00F9404A">
              <w:rPr>
                <w:lang w:val="fr-CH"/>
              </w:rPr>
              <w:t>olang</w:t>
            </w:r>
            <w:proofErr w:type="spellEnd"/>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00F9404A">
              <w:rPr>
                <w:lang w:val="fr-CH"/>
              </w:rPr>
              <w:t>virs</w:t>
            </w:r>
            <w:proofErr w:type="spellEnd"/>
            <w:r>
              <w:fldChar w:fldCharType="end"/>
            </w:r>
          </w:p>
        </w:tc>
      </w:tr>
    </w:tbl>
    <w:p w:rsidR="00562772" w:rsidRPr="00C21128" w:rsidRDefault="00562772" w:rsidP="00562772">
      <w:pPr>
        <w:pStyle w:val="SingleTxtGA"/>
        <w:spacing w:before="120" w:after="0"/>
        <w:ind w:left="0" w:right="4252"/>
        <w:jc w:val="left"/>
        <w:rPr>
          <w:b/>
          <w:bCs/>
          <w:sz w:val="26"/>
          <w:szCs w:val="36"/>
          <w:rtl/>
          <w:lang w:eastAsia="zh-TW"/>
        </w:rPr>
      </w:pPr>
      <w:r w:rsidRPr="00C21128">
        <w:rPr>
          <w:b/>
          <w:bCs/>
          <w:sz w:val="26"/>
          <w:szCs w:val="36"/>
          <w:rtl/>
          <w:lang w:eastAsia="zh-TW"/>
        </w:rPr>
        <w:t>اللجنة المعنية بحقوق الأشخاص ذوي الإعاقة</w:t>
      </w:r>
    </w:p>
    <w:p w:rsidR="00562772" w:rsidRDefault="00562772" w:rsidP="00562772">
      <w:pPr>
        <w:pStyle w:val="HChGA"/>
        <w:rPr>
          <w:sz w:val="20"/>
          <w:rtl/>
          <w:lang w:eastAsia="zh-TW"/>
        </w:rPr>
      </w:pPr>
      <w:r>
        <w:rPr>
          <w:lang w:eastAsia="zh-TW"/>
        </w:rPr>
        <w:tab/>
      </w:r>
      <w:r>
        <w:rPr>
          <w:lang w:eastAsia="zh-TW"/>
        </w:rPr>
        <w:tab/>
      </w:r>
      <w:r w:rsidRPr="00617D4A">
        <w:rPr>
          <w:rtl/>
          <w:lang w:eastAsia="zh-TW"/>
        </w:rPr>
        <w:t>الملاحظات الختامية بشأن التقرير</w:t>
      </w:r>
      <w:r>
        <w:rPr>
          <w:rtl/>
          <w:lang w:eastAsia="zh-TW"/>
        </w:rPr>
        <w:t xml:space="preserve"> </w:t>
      </w:r>
      <w:r w:rsidRPr="00C21128">
        <w:rPr>
          <w:rFonts w:ascii="Times New Roman Bold" w:hAnsi="Times New Roman Bold"/>
          <w:color w:val="FF0000"/>
          <w:rtl/>
          <w:lang w:eastAsia="zh-TW"/>
        </w:rPr>
        <w:t>[الأولي] [الجامع للتقارير الدورية [الرقم]] [الدوري [الرقم]]</w:t>
      </w:r>
      <w:r>
        <w:rPr>
          <w:rFonts w:ascii="Times New Roman Bold" w:hAnsi="Times New Roman Bold" w:hint="cs"/>
          <w:rtl/>
          <w:lang w:eastAsia="zh-TW"/>
        </w:rPr>
        <w:t xml:space="preserve"> </w:t>
      </w:r>
      <w:r w:rsidRPr="00C21128">
        <w:rPr>
          <w:rFonts w:ascii="Times New Roman Bold" w:hAnsi="Times New Roman Bold" w:hint="cs"/>
          <w:rtl/>
          <w:lang w:eastAsia="zh-TW"/>
        </w:rPr>
        <w:t xml:space="preserve">ل‍ </w:t>
      </w:r>
      <w:r w:rsidRPr="00C21128">
        <w:rPr>
          <w:rFonts w:ascii="Times New Roman Bold" w:hAnsi="Times New Roman Bold"/>
          <w:color w:val="FF0000"/>
          <w:rtl/>
          <w:lang w:eastAsia="zh-TW"/>
        </w:rPr>
        <w:t>[البلد]</w:t>
      </w:r>
      <w:r w:rsidRPr="00C21128">
        <w:rPr>
          <w:rStyle w:val="Appelnotedebasdep"/>
          <w:sz w:val="20"/>
          <w:vertAlign w:val="baseline"/>
          <w:rtl/>
          <w:lang w:eastAsia="zh-TW"/>
        </w:rPr>
        <w:footnoteReference w:customMarkFollows="1" w:id="1"/>
        <w:t>*</w:t>
      </w:r>
    </w:p>
    <w:p w:rsidR="00562772" w:rsidRPr="00617D4A" w:rsidRDefault="00562772" w:rsidP="00562772">
      <w:pPr>
        <w:pStyle w:val="H1GA"/>
        <w:rPr>
          <w:rtl/>
          <w:lang w:eastAsia="zh-TW"/>
        </w:rPr>
      </w:pPr>
      <w:r>
        <w:rPr>
          <w:rFonts w:hint="cs"/>
          <w:rtl/>
          <w:lang w:eastAsia="zh-TW"/>
        </w:rPr>
        <w:tab/>
      </w:r>
      <w:r w:rsidRPr="00617D4A">
        <w:rPr>
          <w:rtl/>
          <w:lang w:eastAsia="zh-TW"/>
        </w:rPr>
        <w:t>أولا</w:t>
      </w:r>
      <w:r>
        <w:rPr>
          <w:rFonts w:hint="cs"/>
          <w:rtl/>
          <w:lang w:eastAsia="zh-TW"/>
        </w:rPr>
        <w:t>ً</w:t>
      </w:r>
      <w:r w:rsidRPr="00617D4A">
        <w:rPr>
          <w:rtl/>
          <w:lang w:eastAsia="zh-TW"/>
        </w:rPr>
        <w:t>-</w:t>
      </w:r>
      <w:r>
        <w:rPr>
          <w:rFonts w:hint="cs"/>
          <w:rtl/>
          <w:lang w:eastAsia="zh-TW"/>
        </w:rPr>
        <w:tab/>
      </w:r>
      <w:r w:rsidRPr="00617D4A">
        <w:rPr>
          <w:rtl/>
          <w:lang w:eastAsia="zh-TW"/>
        </w:rPr>
        <w:t>مقدمة</w:t>
      </w:r>
    </w:p>
    <w:p w:rsidR="00562772" w:rsidRPr="001D1E18" w:rsidRDefault="00562772" w:rsidP="00562772">
      <w:pPr>
        <w:pStyle w:val="SingleTxtGA"/>
        <w:rPr>
          <w:rtl/>
          <w:lang w:eastAsia="zh-TW"/>
        </w:rPr>
      </w:pPr>
      <w:r>
        <w:rPr>
          <w:rFonts w:hint="cs"/>
          <w:rtl/>
          <w:lang w:eastAsia="zh-TW"/>
        </w:rPr>
        <w:t>1-</w:t>
      </w:r>
      <w:r>
        <w:rPr>
          <w:rFonts w:hint="cs"/>
          <w:rtl/>
          <w:lang w:eastAsia="zh-TW"/>
        </w:rPr>
        <w:tab/>
      </w:r>
      <w:r>
        <w:rPr>
          <w:rtl/>
          <w:lang w:eastAsia="zh-TW"/>
        </w:rPr>
        <w:t xml:space="preserve">نظرت اللجنة في التقرير </w:t>
      </w:r>
      <w:r w:rsidRPr="00617D4A">
        <w:rPr>
          <w:color w:val="FF0000"/>
          <w:rtl/>
          <w:lang w:eastAsia="zh-TW"/>
        </w:rPr>
        <w:t>[الأولي] [الجامع للتقارير الدورية [الرقم]] [الدوري [الرقم]]</w:t>
      </w:r>
      <w:r>
        <w:rPr>
          <w:rtl/>
          <w:lang w:eastAsia="zh-TW"/>
        </w:rPr>
        <w:t xml:space="preserve"> </w:t>
      </w:r>
      <w:r>
        <w:rPr>
          <w:rFonts w:hint="cs"/>
          <w:rtl/>
          <w:lang w:eastAsia="zh-TW"/>
        </w:rPr>
        <w:t>ل‍</w:t>
      </w:r>
      <w:r>
        <w:rPr>
          <w:rFonts w:hint="cs"/>
          <w:color w:val="FF0000"/>
          <w:rtl/>
          <w:lang w:eastAsia="zh-TW"/>
        </w:rPr>
        <w:t> </w:t>
      </w:r>
      <w:r w:rsidRPr="00617D4A">
        <w:rPr>
          <w:color w:val="FF0000"/>
          <w:rtl/>
          <w:lang w:eastAsia="zh-TW"/>
        </w:rPr>
        <w:t>[البلد]</w:t>
      </w:r>
      <w:r>
        <w:rPr>
          <w:rtl/>
          <w:lang w:eastAsia="zh-TW"/>
        </w:rPr>
        <w:t xml:space="preserve"> </w:t>
      </w:r>
      <w:r w:rsidRPr="001D1E18">
        <w:t>(CRPD/C/</w:t>
      </w:r>
      <w:r w:rsidRPr="000B2827">
        <w:rPr>
          <w:color w:val="FF0000"/>
        </w:rPr>
        <w:t>XXX</w:t>
      </w:r>
      <w:r w:rsidRPr="001D1E18">
        <w:t>/</w:t>
      </w:r>
      <w:r w:rsidRPr="000B2827">
        <w:rPr>
          <w:color w:val="FF0000"/>
        </w:rPr>
        <w:t>Y</w:t>
      </w:r>
      <w:r w:rsidRPr="001D1E18">
        <w:t>)</w:t>
      </w:r>
      <w:r>
        <w:rPr>
          <w:rtl/>
          <w:lang w:eastAsia="zh-TW"/>
        </w:rPr>
        <w:t xml:space="preserve"> في جلستيها </w:t>
      </w:r>
      <w:r w:rsidRPr="00617D4A">
        <w:rPr>
          <w:color w:val="FF0000"/>
          <w:rtl/>
          <w:lang w:eastAsia="zh-TW"/>
        </w:rPr>
        <w:t>ال</w:t>
      </w:r>
      <w:r>
        <w:rPr>
          <w:color w:val="FF0000"/>
          <w:rtl/>
          <w:lang w:eastAsia="zh-TW"/>
        </w:rPr>
        <w:t>رقم </w:t>
      </w:r>
      <w:r>
        <w:rPr>
          <w:rtl/>
          <w:lang w:eastAsia="zh-TW"/>
        </w:rPr>
        <w:t>و</w:t>
      </w:r>
      <w:r w:rsidRPr="00617D4A">
        <w:rPr>
          <w:color w:val="FF0000"/>
          <w:rtl/>
          <w:lang w:eastAsia="zh-TW"/>
        </w:rPr>
        <w:t>ال</w:t>
      </w:r>
      <w:r>
        <w:rPr>
          <w:color w:val="FF0000"/>
          <w:rtl/>
          <w:lang w:eastAsia="zh-TW"/>
        </w:rPr>
        <w:t>رقم </w:t>
      </w:r>
      <w:r>
        <w:rPr>
          <w:rtl/>
          <w:lang w:eastAsia="zh-TW"/>
        </w:rPr>
        <w:t xml:space="preserve">(انظر </w:t>
      </w:r>
      <w:r w:rsidRPr="001D1E18">
        <w:t>CRPD/C/SR.</w:t>
      </w:r>
      <w:r w:rsidRPr="000B2827">
        <w:rPr>
          <w:color w:val="FF0000"/>
        </w:rPr>
        <w:t>XXX</w:t>
      </w:r>
      <w:r>
        <w:rPr>
          <w:rtl/>
          <w:lang w:eastAsia="zh-TW"/>
        </w:rPr>
        <w:t xml:space="preserve"> و</w:t>
      </w:r>
      <w:r w:rsidRPr="009F5B4E">
        <w:t>SR.</w:t>
      </w:r>
      <w:r w:rsidRPr="000B2827">
        <w:rPr>
          <w:color w:val="FF0000"/>
        </w:rPr>
        <w:t>XXX</w:t>
      </w:r>
      <w:r>
        <w:rPr>
          <w:rtl/>
          <w:lang w:eastAsia="zh-TW"/>
        </w:rPr>
        <w:t xml:space="preserve">)، المعقودتين في </w:t>
      </w:r>
      <w:r w:rsidRPr="00617D4A">
        <w:rPr>
          <w:color w:val="FF0000"/>
          <w:rtl/>
          <w:lang w:eastAsia="zh-TW"/>
        </w:rPr>
        <w:t xml:space="preserve">التاريخ </w:t>
      </w:r>
      <w:r>
        <w:rPr>
          <w:rtl/>
          <w:lang w:eastAsia="zh-TW"/>
        </w:rPr>
        <w:t>و</w:t>
      </w:r>
      <w:r w:rsidRPr="00617D4A">
        <w:rPr>
          <w:color w:val="FF0000"/>
          <w:rtl/>
          <w:lang w:eastAsia="zh-TW"/>
        </w:rPr>
        <w:t>التاريخ</w:t>
      </w:r>
      <w:r>
        <w:rPr>
          <w:rtl/>
          <w:lang w:eastAsia="zh-TW"/>
        </w:rPr>
        <w:t xml:space="preserve">. واعتمدت في جلستها </w:t>
      </w:r>
      <w:r w:rsidRPr="00617D4A">
        <w:rPr>
          <w:color w:val="FF0000"/>
          <w:rtl/>
          <w:lang w:eastAsia="zh-TW"/>
        </w:rPr>
        <w:t>الرقم</w:t>
      </w:r>
      <w:r>
        <w:rPr>
          <w:rtl/>
          <w:lang w:eastAsia="zh-TW"/>
        </w:rPr>
        <w:t xml:space="preserve">، المعقودة في </w:t>
      </w:r>
      <w:r w:rsidRPr="00617D4A">
        <w:rPr>
          <w:color w:val="FF0000"/>
          <w:rtl/>
          <w:lang w:eastAsia="zh-TW"/>
        </w:rPr>
        <w:t>التاريخ</w:t>
      </w:r>
      <w:r>
        <w:rPr>
          <w:rtl/>
          <w:lang w:eastAsia="zh-TW"/>
        </w:rPr>
        <w:t>، هذه الملاحظات الختامية.</w:t>
      </w:r>
    </w:p>
    <w:p w:rsidR="00562772" w:rsidRPr="00617D4A" w:rsidRDefault="00562772" w:rsidP="00562772">
      <w:pPr>
        <w:pStyle w:val="SingleTxtGA"/>
        <w:rPr>
          <w:rtl/>
          <w:lang w:eastAsia="zh-TW"/>
        </w:rPr>
      </w:pPr>
      <w:r>
        <w:rPr>
          <w:rFonts w:hint="cs"/>
          <w:rtl/>
          <w:lang w:eastAsia="zh-TW"/>
        </w:rPr>
        <w:t>2-</w:t>
      </w:r>
      <w:r>
        <w:rPr>
          <w:rFonts w:hint="cs"/>
          <w:rtl/>
          <w:lang w:eastAsia="zh-TW"/>
        </w:rPr>
        <w:tab/>
      </w:r>
      <w:r>
        <w:rPr>
          <w:rtl/>
          <w:lang w:eastAsia="zh-TW"/>
        </w:rPr>
        <w:t xml:space="preserve">وترحب اللجنة بالتقرير </w:t>
      </w:r>
      <w:r w:rsidRPr="00617D4A">
        <w:rPr>
          <w:color w:val="FF0000"/>
          <w:rtl/>
          <w:lang w:eastAsia="zh-TW"/>
        </w:rPr>
        <w:t>[الأولي] [الجامع للتقارير الدورية [الرقم]] [الدوري [الرقم]]</w:t>
      </w:r>
      <w:r>
        <w:rPr>
          <w:rtl/>
          <w:lang w:eastAsia="zh-TW"/>
        </w:rPr>
        <w:t xml:space="preserve"> </w:t>
      </w:r>
      <w:r>
        <w:rPr>
          <w:rFonts w:hint="cs"/>
          <w:rtl/>
          <w:lang w:eastAsia="zh-TW"/>
        </w:rPr>
        <w:t>ل‍</w:t>
      </w:r>
      <w:r>
        <w:rPr>
          <w:rFonts w:hint="cs"/>
          <w:color w:val="FF0000"/>
          <w:rtl/>
          <w:lang w:eastAsia="zh-TW"/>
        </w:rPr>
        <w:t> </w:t>
      </w:r>
      <w:r w:rsidRPr="00617D4A">
        <w:rPr>
          <w:color w:val="FF0000"/>
          <w:rtl/>
          <w:lang w:eastAsia="zh-TW"/>
        </w:rPr>
        <w:t>[البلد]</w:t>
      </w:r>
      <w:r>
        <w:rPr>
          <w:rtl/>
          <w:lang w:eastAsia="zh-TW"/>
        </w:rPr>
        <w:t xml:space="preserve">، الذي أُعد وفقاً للمبادئ التوجيهية التي وضعتها اللجنة بشأن تقديم التقارير، وتشكر الدولةَ الطرف على ما قدمته من ردود كتابية </w:t>
      </w:r>
      <w:r w:rsidRPr="001D1E18">
        <w:t>(CRPD/C/</w:t>
      </w:r>
      <w:r w:rsidRPr="000B2827">
        <w:rPr>
          <w:color w:val="FF0000"/>
        </w:rPr>
        <w:t>XXX</w:t>
      </w:r>
      <w:r w:rsidRPr="001D1E18">
        <w:t>/Q/</w:t>
      </w:r>
      <w:r w:rsidRPr="000B2827">
        <w:rPr>
          <w:color w:val="FF0000"/>
        </w:rPr>
        <w:t>Y</w:t>
      </w:r>
      <w:r w:rsidRPr="001D1E18">
        <w:t>/Add.1)</w:t>
      </w:r>
      <w:r>
        <w:rPr>
          <w:rtl/>
          <w:lang w:eastAsia="zh-TW"/>
        </w:rPr>
        <w:t xml:space="preserve"> على قائمة المسائل التي أعدتها اللجنة </w:t>
      </w:r>
      <w:r w:rsidRPr="001D1E18">
        <w:t>(CRPD/C/</w:t>
      </w:r>
      <w:r w:rsidRPr="000B2827">
        <w:rPr>
          <w:color w:val="FF0000"/>
        </w:rPr>
        <w:t>XXX</w:t>
      </w:r>
      <w:r w:rsidRPr="001D1E18">
        <w:t>/Q/</w:t>
      </w:r>
      <w:r w:rsidRPr="000B2827">
        <w:rPr>
          <w:color w:val="FF0000"/>
        </w:rPr>
        <w:t>Y</w:t>
      </w:r>
      <w:r w:rsidRPr="001D1E18">
        <w:t>)</w:t>
      </w:r>
      <w:r>
        <w:rPr>
          <w:rtl/>
          <w:lang w:eastAsia="zh-TW"/>
        </w:rPr>
        <w:t xml:space="preserve">. </w:t>
      </w:r>
      <w:r w:rsidRPr="00617D4A">
        <w:rPr>
          <w:highlight w:val="yellow"/>
          <w:rtl/>
          <w:lang w:eastAsia="zh-TW"/>
        </w:rPr>
        <w:t>[[</w:t>
      </w:r>
      <w:r w:rsidRPr="00617D4A">
        <w:rPr>
          <w:b/>
          <w:bCs/>
          <w:highlight w:val="yellow"/>
          <w:rtl/>
          <w:lang w:eastAsia="zh-TW"/>
        </w:rPr>
        <w:t>قد تختلف الصيغة</w:t>
      </w:r>
      <w:r w:rsidRPr="00617D4A">
        <w:rPr>
          <w:highlight w:val="yellow"/>
          <w:rtl/>
          <w:lang w:eastAsia="zh-TW"/>
        </w:rPr>
        <w:t>.]]</w:t>
      </w:r>
    </w:p>
    <w:p w:rsidR="00562772" w:rsidRPr="00154E24" w:rsidRDefault="00562772" w:rsidP="00562772">
      <w:pPr>
        <w:pStyle w:val="HChGA"/>
        <w:rPr>
          <w:rtl/>
          <w:lang w:eastAsia="zh-TW"/>
        </w:rPr>
      </w:pPr>
      <w:r>
        <w:rPr>
          <w:rFonts w:hint="cs"/>
          <w:rtl/>
          <w:lang w:eastAsia="zh-TW"/>
        </w:rPr>
        <w:tab/>
      </w:r>
      <w:r w:rsidRPr="00154E24">
        <w:rPr>
          <w:rtl/>
          <w:lang w:eastAsia="zh-TW"/>
        </w:rPr>
        <w:t>ثانيا</w:t>
      </w:r>
      <w:r>
        <w:rPr>
          <w:rFonts w:hint="cs"/>
          <w:rtl/>
          <w:lang w:eastAsia="zh-TW"/>
        </w:rPr>
        <w:t>ً</w:t>
      </w:r>
      <w:r w:rsidRPr="00154E24">
        <w:rPr>
          <w:rtl/>
          <w:lang w:eastAsia="zh-TW"/>
        </w:rPr>
        <w:t>-</w:t>
      </w:r>
      <w:r>
        <w:rPr>
          <w:rFonts w:hint="cs"/>
          <w:rtl/>
          <w:lang w:eastAsia="zh-TW"/>
        </w:rPr>
        <w:tab/>
      </w:r>
      <w:r w:rsidRPr="00154E24">
        <w:rPr>
          <w:rtl/>
          <w:lang w:eastAsia="zh-TW"/>
        </w:rPr>
        <w:t>الجوانب الإيجابية</w:t>
      </w:r>
    </w:p>
    <w:p w:rsidR="00562772" w:rsidRPr="00822706" w:rsidRDefault="00562772" w:rsidP="00562772">
      <w:pPr>
        <w:pStyle w:val="HChGA"/>
        <w:rPr>
          <w:sz w:val="32"/>
          <w:szCs w:val="32"/>
          <w:rtl/>
          <w:lang w:eastAsia="zh-TW"/>
        </w:rPr>
      </w:pPr>
      <w:r>
        <w:rPr>
          <w:rFonts w:hint="cs"/>
          <w:rtl/>
          <w:lang w:eastAsia="zh-TW"/>
        </w:rPr>
        <w:tab/>
      </w:r>
      <w:r w:rsidRPr="00154E24">
        <w:rPr>
          <w:rtl/>
          <w:lang w:eastAsia="zh-TW"/>
        </w:rPr>
        <w:t>ثالثا</w:t>
      </w:r>
      <w:r>
        <w:rPr>
          <w:rFonts w:hint="cs"/>
          <w:rtl/>
          <w:lang w:eastAsia="zh-TW"/>
        </w:rPr>
        <w:t>ً</w:t>
      </w:r>
      <w:r w:rsidRPr="00154E24">
        <w:rPr>
          <w:rtl/>
          <w:lang w:eastAsia="zh-TW"/>
        </w:rPr>
        <w:t>-</w:t>
      </w:r>
      <w:r>
        <w:rPr>
          <w:rFonts w:hint="cs"/>
          <w:rtl/>
          <w:lang w:eastAsia="zh-TW"/>
        </w:rPr>
        <w:tab/>
      </w:r>
      <w:r w:rsidRPr="00154E24">
        <w:rPr>
          <w:rtl/>
          <w:lang w:eastAsia="zh-TW"/>
        </w:rPr>
        <w:t>دواعي القلق الرئيسية والتوصيات</w:t>
      </w:r>
    </w:p>
    <w:p w:rsidR="00562772" w:rsidRPr="00154E24" w:rsidRDefault="00562772" w:rsidP="00562772">
      <w:pPr>
        <w:pStyle w:val="H1GA"/>
        <w:rPr>
          <w:rtl/>
          <w:lang w:eastAsia="zh-TW"/>
        </w:rPr>
      </w:pPr>
      <w:r>
        <w:rPr>
          <w:rFonts w:hint="cs"/>
          <w:rtl/>
          <w:lang w:eastAsia="zh-TW"/>
        </w:rPr>
        <w:tab/>
      </w:r>
      <w:r w:rsidRPr="00154E24">
        <w:rPr>
          <w:rtl/>
          <w:lang w:eastAsia="zh-TW"/>
        </w:rPr>
        <w:t>ألف-</w:t>
      </w:r>
      <w:r>
        <w:rPr>
          <w:rFonts w:hint="cs"/>
          <w:rtl/>
          <w:lang w:eastAsia="zh-TW"/>
        </w:rPr>
        <w:tab/>
      </w:r>
      <w:r w:rsidRPr="00154E24">
        <w:rPr>
          <w:rtl/>
          <w:lang w:eastAsia="zh-TW"/>
        </w:rPr>
        <w:t xml:space="preserve">المبادئ والالتزامات العامة (المواد 1-4) </w:t>
      </w:r>
    </w:p>
    <w:p w:rsidR="00562772" w:rsidRPr="00154E24" w:rsidRDefault="00562772" w:rsidP="00562772">
      <w:pPr>
        <w:pStyle w:val="H1GA"/>
        <w:keepNext w:val="0"/>
        <w:rPr>
          <w:rtl/>
          <w:lang w:eastAsia="zh-TW"/>
        </w:rPr>
      </w:pPr>
      <w:r>
        <w:rPr>
          <w:rFonts w:hint="cs"/>
          <w:rtl/>
          <w:lang w:eastAsia="zh-TW"/>
        </w:rPr>
        <w:tab/>
      </w:r>
      <w:r w:rsidRPr="00154E24">
        <w:rPr>
          <w:rtl/>
          <w:lang w:eastAsia="zh-TW"/>
        </w:rPr>
        <w:t>باء-</w:t>
      </w:r>
      <w:r>
        <w:rPr>
          <w:rFonts w:hint="cs"/>
          <w:rtl/>
          <w:lang w:eastAsia="zh-TW"/>
        </w:rPr>
        <w:tab/>
      </w:r>
      <w:r w:rsidRPr="00154E24">
        <w:rPr>
          <w:rtl/>
          <w:lang w:eastAsia="zh-TW"/>
        </w:rPr>
        <w:t>حقوق محددة (</w:t>
      </w:r>
      <w:r w:rsidRPr="00154E24">
        <w:rPr>
          <w:rFonts w:ascii="Traditional Arabic" w:hAnsi="Traditional Arabic" w:hint="cs"/>
          <w:rtl/>
          <w:lang w:eastAsia="zh-TW"/>
        </w:rPr>
        <w:t>المواد</w:t>
      </w:r>
      <w:r w:rsidRPr="00154E24">
        <w:rPr>
          <w:rtl/>
          <w:lang w:eastAsia="zh-TW"/>
        </w:rPr>
        <w:t xml:space="preserve"> 5-30)</w:t>
      </w:r>
    </w:p>
    <w:p w:rsidR="00562772" w:rsidRPr="00822706" w:rsidRDefault="00562772" w:rsidP="00562772">
      <w:pPr>
        <w:pStyle w:val="H23GA"/>
        <w:keepNext w:val="0"/>
        <w:rPr>
          <w:rtl/>
        </w:rPr>
      </w:pPr>
      <w:r>
        <w:tab/>
      </w:r>
      <w:r>
        <w:tab/>
      </w:r>
      <w:r w:rsidRPr="00822706">
        <w:rPr>
          <w:rtl/>
        </w:rPr>
        <w:t>المساواة وعدم التمييز (المادة 5)</w:t>
      </w:r>
      <w:r>
        <w:rPr>
          <w:rtl/>
        </w:rPr>
        <w:t xml:space="preserve"> </w:t>
      </w:r>
      <w:r w:rsidRPr="00822706">
        <w:rPr>
          <w:highlight w:val="yellow"/>
          <w:rtl/>
        </w:rPr>
        <w:t xml:space="preserve">[[لا تُدرَج كل العناوين الفرعية المكتوبة </w:t>
      </w:r>
      <w:r>
        <w:rPr>
          <w:highlight w:val="yellow"/>
          <w:rtl/>
        </w:rPr>
        <w:t>بحرف الطباعة</w:t>
      </w:r>
      <w:r w:rsidRPr="00822706">
        <w:rPr>
          <w:highlight w:val="yellow"/>
          <w:rtl/>
        </w:rPr>
        <w:t xml:space="preserve"> </w:t>
      </w:r>
      <w:r w:rsidRPr="00D94B8F">
        <w:rPr>
          <w:rtl/>
        </w:rPr>
        <w:t xml:space="preserve">_ </w:t>
      </w:r>
      <w:r w:rsidRPr="00D94B8F">
        <w:t>H_2/3_GA</w:t>
      </w:r>
      <w:r w:rsidRPr="00822706">
        <w:rPr>
          <w:highlight w:val="yellow"/>
          <w:rtl/>
        </w:rPr>
        <w:t xml:space="preserve"> (الحرف العريض </w:t>
      </w:r>
      <w:r>
        <w:rPr>
          <w:highlight w:val="yellow"/>
          <w:rtl/>
        </w:rPr>
        <w:t>بنط</w:t>
      </w:r>
      <w:r w:rsidRPr="00822706">
        <w:rPr>
          <w:highlight w:val="yellow"/>
          <w:rtl/>
        </w:rPr>
        <w:t xml:space="preserve"> </w:t>
      </w:r>
      <w:r>
        <w:rPr>
          <w:rFonts w:hint="cs"/>
          <w:highlight w:val="yellow"/>
          <w:rtl/>
        </w:rPr>
        <w:t>15</w:t>
      </w:r>
      <w:r w:rsidRPr="00822706">
        <w:rPr>
          <w:highlight w:val="yellow"/>
          <w:rtl/>
        </w:rPr>
        <w:t>) في جميع الملاحظات الختامية.]]</w:t>
      </w:r>
    </w:p>
    <w:p w:rsidR="00562772" w:rsidRPr="00822706" w:rsidRDefault="00562772" w:rsidP="00562772">
      <w:pPr>
        <w:pStyle w:val="H23GA"/>
        <w:keepNext w:val="0"/>
        <w:rPr>
          <w:rtl/>
        </w:rPr>
      </w:pPr>
      <w:r w:rsidRPr="00822706">
        <w:t xml:space="preserve"> </w:t>
      </w:r>
      <w:r>
        <w:tab/>
      </w:r>
      <w:r>
        <w:tab/>
      </w:r>
      <w:r w:rsidRPr="00822706">
        <w:rPr>
          <w:rtl/>
        </w:rPr>
        <w:t>النساء ذوات الإعاقة (المادة 6)</w:t>
      </w:r>
    </w:p>
    <w:p w:rsidR="00562772" w:rsidRPr="00822706" w:rsidRDefault="00562772" w:rsidP="00562772">
      <w:pPr>
        <w:pStyle w:val="H23GA"/>
        <w:rPr>
          <w:rtl/>
        </w:rPr>
      </w:pPr>
      <w:bookmarkStart w:id="0" w:name="_GoBack"/>
      <w:r>
        <w:lastRenderedPageBreak/>
        <w:tab/>
      </w:r>
      <w:r>
        <w:tab/>
      </w:r>
      <w:r w:rsidRPr="00822706">
        <w:rPr>
          <w:rtl/>
        </w:rPr>
        <w:t xml:space="preserve">الأطفال ذوو الإعاقة (المادة 7) </w:t>
      </w:r>
    </w:p>
    <w:p w:rsidR="00562772" w:rsidRPr="00822706" w:rsidRDefault="00562772" w:rsidP="00562772">
      <w:pPr>
        <w:pStyle w:val="H23GA"/>
        <w:rPr>
          <w:rtl/>
        </w:rPr>
      </w:pPr>
      <w:r>
        <w:tab/>
      </w:r>
      <w:r>
        <w:tab/>
      </w:r>
      <w:r w:rsidRPr="00822706">
        <w:rPr>
          <w:rtl/>
        </w:rPr>
        <w:t>إذكاء الوعي (المادة 8)</w:t>
      </w:r>
    </w:p>
    <w:bookmarkEnd w:id="0"/>
    <w:p w:rsidR="00562772" w:rsidRPr="00822706" w:rsidRDefault="00562772" w:rsidP="00562772">
      <w:pPr>
        <w:pStyle w:val="H23GA"/>
        <w:rPr>
          <w:rtl/>
        </w:rPr>
      </w:pPr>
      <w:r>
        <w:tab/>
      </w:r>
      <w:r>
        <w:tab/>
      </w:r>
      <w:r w:rsidRPr="00822706">
        <w:rPr>
          <w:rtl/>
        </w:rPr>
        <w:t>إمكانية الوصول (المادة 9)</w:t>
      </w:r>
    </w:p>
    <w:p w:rsidR="00562772" w:rsidRPr="00822706" w:rsidRDefault="00562772" w:rsidP="00562772">
      <w:pPr>
        <w:pStyle w:val="H23GA"/>
        <w:rPr>
          <w:rtl/>
        </w:rPr>
      </w:pPr>
      <w:r>
        <w:tab/>
      </w:r>
      <w:r>
        <w:tab/>
      </w:r>
      <w:r w:rsidRPr="00822706">
        <w:rPr>
          <w:rtl/>
        </w:rPr>
        <w:t>الحق في الحياة (المادة 10)</w:t>
      </w:r>
    </w:p>
    <w:p w:rsidR="00562772" w:rsidRPr="00822706" w:rsidRDefault="00562772" w:rsidP="00562772">
      <w:pPr>
        <w:pStyle w:val="H23GA"/>
        <w:rPr>
          <w:rtl/>
        </w:rPr>
      </w:pPr>
      <w:r>
        <w:tab/>
      </w:r>
      <w:r>
        <w:tab/>
      </w:r>
      <w:r w:rsidRPr="00822706">
        <w:rPr>
          <w:rtl/>
        </w:rPr>
        <w:t>حالات الخطر والطوارئ الإنسانية (المادة 11)</w:t>
      </w:r>
    </w:p>
    <w:p w:rsidR="00562772" w:rsidRPr="00C21128" w:rsidRDefault="00562772" w:rsidP="00562772">
      <w:pPr>
        <w:pStyle w:val="H23GA"/>
        <w:rPr>
          <w:rFonts w:ascii="Times New Roman Bold" w:hAnsi="Times New Roman Bold"/>
          <w:spacing w:val="-4"/>
          <w:rtl/>
        </w:rPr>
      </w:pPr>
      <w:r w:rsidRPr="00C21128">
        <w:rPr>
          <w:rFonts w:ascii="Times New Roman Bold" w:hAnsi="Times New Roman Bold"/>
          <w:spacing w:val="-4"/>
          <w:rtl/>
        </w:rPr>
        <w:tab/>
      </w:r>
      <w:r w:rsidRPr="00C21128">
        <w:rPr>
          <w:rFonts w:ascii="Times New Roman Bold" w:hAnsi="Times New Roman Bold"/>
          <w:spacing w:val="-4"/>
          <w:rtl/>
        </w:rPr>
        <w:tab/>
        <w:t>الاعتراف بالأشخاص ذوي الإعاقة على قدم المساواة مع الآخرين أمام القانون (المادة 12)</w:t>
      </w:r>
    </w:p>
    <w:p w:rsidR="00562772" w:rsidRPr="00822706" w:rsidRDefault="00562772" w:rsidP="00562772">
      <w:pPr>
        <w:pStyle w:val="H23GA"/>
        <w:rPr>
          <w:rtl/>
        </w:rPr>
      </w:pPr>
      <w:r>
        <w:tab/>
      </w:r>
      <w:r>
        <w:tab/>
      </w:r>
      <w:r w:rsidRPr="00822706">
        <w:rPr>
          <w:rtl/>
        </w:rPr>
        <w:t xml:space="preserve">إمكانية اللجوء إلى القضاء (المادة 13) </w:t>
      </w:r>
    </w:p>
    <w:p w:rsidR="00562772" w:rsidRPr="00822706" w:rsidRDefault="00562772" w:rsidP="00562772">
      <w:pPr>
        <w:pStyle w:val="H23GA"/>
        <w:rPr>
          <w:rtl/>
        </w:rPr>
      </w:pPr>
      <w:r>
        <w:tab/>
      </w:r>
      <w:r>
        <w:tab/>
      </w:r>
      <w:r w:rsidRPr="00822706">
        <w:rPr>
          <w:rtl/>
        </w:rPr>
        <w:t>حرية الشخص وأمنه (المادة 14)</w:t>
      </w:r>
    </w:p>
    <w:p w:rsidR="00562772" w:rsidRPr="00C21128" w:rsidRDefault="00562772" w:rsidP="00562772">
      <w:pPr>
        <w:pStyle w:val="H23GA"/>
        <w:rPr>
          <w:rFonts w:ascii="Times New Roman Bold" w:hAnsi="Times New Roman Bold"/>
          <w:spacing w:val="-4"/>
          <w:rtl/>
        </w:rPr>
      </w:pPr>
      <w:r w:rsidRPr="00C21128">
        <w:rPr>
          <w:rFonts w:ascii="Times New Roman Bold" w:hAnsi="Times New Roman Bold"/>
          <w:spacing w:val="-4"/>
        </w:rPr>
        <w:tab/>
      </w:r>
      <w:r w:rsidRPr="00C21128">
        <w:rPr>
          <w:rFonts w:ascii="Times New Roman Bold" w:hAnsi="Times New Roman Bold"/>
          <w:spacing w:val="-4"/>
        </w:rPr>
        <w:tab/>
      </w:r>
      <w:r w:rsidRPr="00C21128">
        <w:rPr>
          <w:rFonts w:ascii="Times New Roman Bold" w:hAnsi="Times New Roman Bold"/>
          <w:spacing w:val="-4"/>
          <w:rtl/>
        </w:rPr>
        <w:t>عدم التعرض للتعذيب</w:t>
      </w:r>
      <w:r>
        <w:rPr>
          <w:rFonts w:ascii="Times New Roman Bold" w:hAnsi="Times New Roman Bold"/>
          <w:spacing w:val="-4"/>
          <w:rtl/>
        </w:rPr>
        <w:t xml:space="preserve"> أو </w:t>
      </w:r>
      <w:r w:rsidRPr="00C21128">
        <w:rPr>
          <w:rFonts w:ascii="Times New Roman Bold" w:hAnsi="Times New Roman Bold"/>
          <w:spacing w:val="-4"/>
          <w:rtl/>
        </w:rPr>
        <w:t>المعاملة</w:t>
      </w:r>
      <w:r>
        <w:rPr>
          <w:rFonts w:ascii="Times New Roman Bold" w:hAnsi="Times New Roman Bold"/>
          <w:spacing w:val="-4"/>
          <w:rtl/>
        </w:rPr>
        <w:t xml:space="preserve"> أو </w:t>
      </w:r>
      <w:r w:rsidRPr="00C21128">
        <w:rPr>
          <w:rFonts w:ascii="Times New Roman Bold" w:hAnsi="Times New Roman Bold"/>
          <w:spacing w:val="-4"/>
          <w:rtl/>
        </w:rPr>
        <w:t>العقوبة القاسية</w:t>
      </w:r>
      <w:r>
        <w:rPr>
          <w:rFonts w:ascii="Times New Roman Bold" w:hAnsi="Times New Roman Bold"/>
          <w:spacing w:val="-4"/>
          <w:rtl/>
        </w:rPr>
        <w:t xml:space="preserve"> أو </w:t>
      </w:r>
      <w:r w:rsidRPr="00C21128">
        <w:rPr>
          <w:rFonts w:ascii="Times New Roman Bold" w:hAnsi="Times New Roman Bold"/>
          <w:spacing w:val="-4"/>
          <w:rtl/>
        </w:rPr>
        <w:t>اللاإنسانية</w:t>
      </w:r>
      <w:r>
        <w:rPr>
          <w:rFonts w:ascii="Times New Roman Bold" w:hAnsi="Times New Roman Bold"/>
          <w:spacing w:val="-4"/>
          <w:rtl/>
        </w:rPr>
        <w:t xml:space="preserve"> أو </w:t>
      </w:r>
      <w:r w:rsidRPr="00C21128">
        <w:rPr>
          <w:rFonts w:ascii="Times New Roman Bold" w:hAnsi="Times New Roman Bold"/>
          <w:spacing w:val="-4"/>
          <w:rtl/>
        </w:rPr>
        <w:t>المهينة (المادة 15)</w:t>
      </w:r>
    </w:p>
    <w:p w:rsidR="00562772" w:rsidRPr="00822706" w:rsidRDefault="00562772" w:rsidP="00562772">
      <w:pPr>
        <w:pStyle w:val="H23GA"/>
        <w:rPr>
          <w:rtl/>
        </w:rPr>
      </w:pPr>
      <w:r>
        <w:tab/>
      </w:r>
      <w:r>
        <w:tab/>
      </w:r>
      <w:r w:rsidRPr="00822706">
        <w:rPr>
          <w:rtl/>
        </w:rPr>
        <w:t>عدم التعرض للاستغلال والعنف والاعتداء (المادة 16)</w:t>
      </w:r>
    </w:p>
    <w:p w:rsidR="00562772" w:rsidRPr="00822706" w:rsidRDefault="00562772" w:rsidP="00562772">
      <w:pPr>
        <w:pStyle w:val="H23GA"/>
        <w:rPr>
          <w:rtl/>
        </w:rPr>
      </w:pPr>
      <w:r>
        <w:tab/>
      </w:r>
      <w:r>
        <w:tab/>
      </w:r>
      <w:r w:rsidRPr="00822706">
        <w:rPr>
          <w:rtl/>
        </w:rPr>
        <w:t>حماية السلامة الشخصية (المادة 17)</w:t>
      </w:r>
    </w:p>
    <w:p w:rsidR="00562772" w:rsidRPr="00822706" w:rsidRDefault="00562772" w:rsidP="00562772">
      <w:pPr>
        <w:pStyle w:val="H23GA"/>
        <w:rPr>
          <w:rtl/>
        </w:rPr>
      </w:pPr>
      <w:r>
        <w:tab/>
      </w:r>
      <w:r>
        <w:tab/>
      </w:r>
      <w:r w:rsidRPr="00822706">
        <w:rPr>
          <w:rtl/>
        </w:rPr>
        <w:t>حرية التنقل والجنسية (المادة 18)</w:t>
      </w:r>
    </w:p>
    <w:p w:rsidR="00562772" w:rsidRPr="00822706" w:rsidRDefault="00562772" w:rsidP="00562772">
      <w:pPr>
        <w:pStyle w:val="H23GA"/>
        <w:rPr>
          <w:rtl/>
        </w:rPr>
      </w:pPr>
      <w:r>
        <w:tab/>
      </w:r>
      <w:r>
        <w:tab/>
      </w:r>
      <w:r w:rsidRPr="00822706">
        <w:rPr>
          <w:rtl/>
        </w:rPr>
        <w:t>العيش المستقل والإدماج في المجتمع (المادة 19)</w:t>
      </w:r>
    </w:p>
    <w:p w:rsidR="00562772" w:rsidRPr="00822706" w:rsidRDefault="00562772" w:rsidP="00562772">
      <w:pPr>
        <w:pStyle w:val="H23GA"/>
        <w:rPr>
          <w:rtl/>
        </w:rPr>
      </w:pPr>
      <w:r>
        <w:tab/>
      </w:r>
      <w:r>
        <w:tab/>
      </w:r>
      <w:r w:rsidRPr="00822706">
        <w:rPr>
          <w:rtl/>
        </w:rPr>
        <w:t>التنقل الشخصي (المادة 20)</w:t>
      </w:r>
    </w:p>
    <w:p w:rsidR="00562772" w:rsidRPr="00822706" w:rsidRDefault="00562772" w:rsidP="00562772">
      <w:pPr>
        <w:pStyle w:val="H23GA"/>
        <w:rPr>
          <w:rtl/>
        </w:rPr>
      </w:pPr>
      <w:r>
        <w:tab/>
      </w:r>
      <w:r>
        <w:tab/>
      </w:r>
      <w:r w:rsidRPr="00822706">
        <w:rPr>
          <w:rtl/>
        </w:rPr>
        <w:t xml:space="preserve">حرية التعبير والرأي، والحصول على المعلومات (المادة 21) </w:t>
      </w:r>
    </w:p>
    <w:p w:rsidR="00562772" w:rsidRPr="00822706" w:rsidRDefault="00562772" w:rsidP="00562772">
      <w:pPr>
        <w:pStyle w:val="H23GA"/>
        <w:rPr>
          <w:rtl/>
        </w:rPr>
      </w:pPr>
      <w:r>
        <w:tab/>
      </w:r>
      <w:r>
        <w:tab/>
      </w:r>
      <w:r w:rsidRPr="00822706">
        <w:rPr>
          <w:rtl/>
        </w:rPr>
        <w:t>احترام الخصوصية (المادة 22)</w:t>
      </w:r>
    </w:p>
    <w:p w:rsidR="00562772" w:rsidRPr="00822706" w:rsidRDefault="00562772" w:rsidP="00562772">
      <w:pPr>
        <w:pStyle w:val="H23GA"/>
        <w:rPr>
          <w:rtl/>
        </w:rPr>
      </w:pPr>
      <w:r>
        <w:tab/>
      </w:r>
      <w:r>
        <w:tab/>
      </w:r>
      <w:r w:rsidRPr="00822706">
        <w:rPr>
          <w:rtl/>
        </w:rPr>
        <w:t>احترام البيت والأسرة (المادة 23)</w:t>
      </w:r>
    </w:p>
    <w:p w:rsidR="00562772" w:rsidRPr="00822706" w:rsidRDefault="00562772" w:rsidP="00562772">
      <w:pPr>
        <w:pStyle w:val="H23GA"/>
        <w:rPr>
          <w:rtl/>
        </w:rPr>
      </w:pPr>
      <w:r>
        <w:tab/>
      </w:r>
      <w:r>
        <w:tab/>
      </w:r>
      <w:r w:rsidRPr="00822706">
        <w:rPr>
          <w:rtl/>
        </w:rPr>
        <w:t>التعليم (المادة 24)</w:t>
      </w:r>
    </w:p>
    <w:p w:rsidR="00562772" w:rsidRPr="00822706" w:rsidRDefault="00562772" w:rsidP="00562772">
      <w:pPr>
        <w:pStyle w:val="H23GA"/>
        <w:rPr>
          <w:rtl/>
        </w:rPr>
      </w:pPr>
      <w:r>
        <w:tab/>
      </w:r>
      <w:r>
        <w:tab/>
      </w:r>
      <w:r w:rsidRPr="00822706">
        <w:rPr>
          <w:rtl/>
        </w:rPr>
        <w:t>الصحة (المادة 25)</w:t>
      </w:r>
    </w:p>
    <w:p w:rsidR="00562772" w:rsidRPr="00822706" w:rsidRDefault="00562772" w:rsidP="00562772">
      <w:pPr>
        <w:pStyle w:val="H23GA"/>
        <w:rPr>
          <w:rtl/>
        </w:rPr>
      </w:pPr>
      <w:r>
        <w:tab/>
      </w:r>
      <w:r>
        <w:tab/>
      </w:r>
      <w:r w:rsidRPr="00822706">
        <w:rPr>
          <w:rtl/>
        </w:rPr>
        <w:t>التأهيل وإعادة التأهيل (المادة 26)</w:t>
      </w:r>
    </w:p>
    <w:p w:rsidR="00562772" w:rsidRPr="00822706" w:rsidRDefault="00562772" w:rsidP="00562772">
      <w:pPr>
        <w:pStyle w:val="H23GA"/>
        <w:rPr>
          <w:rtl/>
        </w:rPr>
      </w:pPr>
      <w:r>
        <w:tab/>
      </w:r>
      <w:r>
        <w:tab/>
      </w:r>
      <w:r w:rsidRPr="00822706">
        <w:rPr>
          <w:rtl/>
        </w:rPr>
        <w:t xml:space="preserve">العمل والعمالة (المادة 27) </w:t>
      </w:r>
    </w:p>
    <w:p w:rsidR="00562772" w:rsidRPr="00822706" w:rsidRDefault="00562772" w:rsidP="00562772">
      <w:pPr>
        <w:pStyle w:val="H23GA"/>
        <w:rPr>
          <w:rtl/>
        </w:rPr>
      </w:pPr>
      <w:r>
        <w:tab/>
      </w:r>
      <w:r>
        <w:tab/>
      </w:r>
      <w:r w:rsidRPr="00822706">
        <w:rPr>
          <w:rtl/>
        </w:rPr>
        <w:t>مستوى المعيشة اللائق والحماية الاجتماعية (المادة 28)</w:t>
      </w:r>
    </w:p>
    <w:p w:rsidR="00562772" w:rsidRPr="00822706" w:rsidRDefault="00562772" w:rsidP="00562772">
      <w:pPr>
        <w:pStyle w:val="H23GA"/>
        <w:rPr>
          <w:rtl/>
        </w:rPr>
      </w:pPr>
      <w:r>
        <w:tab/>
      </w:r>
      <w:r>
        <w:tab/>
      </w:r>
      <w:r w:rsidRPr="00822706">
        <w:rPr>
          <w:rtl/>
        </w:rPr>
        <w:t>المشاركة في الحياة السياسية والعامة (المادة 29)</w:t>
      </w:r>
    </w:p>
    <w:p w:rsidR="00562772" w:rsidRPr="00822706" w:rsidRDefault="00562772" w:rsidP="00562772">
      <w:pPr>
        <w:pStyle w:val="H23GA"/>
        <w:rPr>
          <w:rtl/>
        </w:rPr>
      </w:pPr>
      <w:r>
        <w:lastRenderedPageBreak/>
        <w:tab/>
      </w:r>
      <w:r>
        <w:tab/>
      </w:r>
      <w:r w:rsidRPr="00822706">
        <w:rPr>
          <w:rtl/>
        </w:rPr>
        <w:t>المشاركة في الحياة الثقافية وأنشطة الترفيه والتسلية والرياضة (المادة 30)</w:t>
      </w:r>
    </w:p>
    <w:p w:rsidR="00562772" w:rsidRPr="00822706" w:rsidRDefault="00562772" w:rsidP="00562772">
      <w:pPr>
        <w:pStyle w:val="H1GA"/>
        <w:rPr>
          <w:rtl/>
          <w:lang w:eastAsia="zh-TW"/>
        </w:rPr>
      </w:pPr>
      <w:r>
        <w:rPr>
          <w:rFonts w:hint="cs"/>
          <w:rtl/>
          <w:lang w:eastAsia="zh-TW"/>
        </w:rPr>
        <w:tab/>
      </w:r>
      <w:r w:rsidRPr="00822706">
        <w:rPr>
          <w:rtl/>
          <w:lang w:eastAsia="zh-TW"/>
        </w:rPr>
        <w:t>جيم-</w:t>
      </w:r>
      <w:r>
        <w:rPr>
          <w:rFonts w:hint="cs"/>
          <w:rtl/>
          <w:lang w:eastAsia="zh-TW"/>
        </w:rPr>
        <w:tab/>
      </w:r>
      <w:r w:rsidRPr="00822706">
        <w:rPr>
          <w:rtl/>
          <w:lang w:eastAsia="zh-TW"/>
        </w:rPr>
        <w:t>التزامات محددة (المواد 31 -33)</w:t>
      </w:r>
    </w:p>
    <w:p w:rsidR="00562772" w:rsidRPr="00822706" w:rsidRDefault="00562772" w:rsidP="00562772">
      <w:pPr>
        <w:pStyle w:val="H23GA"/>
        <w:rPr>
          <w:rtl/>
        </w:rPr>
      </w:pPr>
      <w:r>
        <w:tab/>
      </w:r>
      <w:r>
        <w:tab/>
      </w:r>
      <w:r w:rsidRPr="00822706">
        <w:rPr>
          <w:rtl/>
        </w:rPr>
        <w:t>جمع الإحصاءات والبيانات (المادة 31)</w:t>
      </w:r>
    </w:p>
    <w:p w:rsidR="00562772" w:rsidRPr="00822706" w:rsidRDefault="00562772" w:rsidP="00562772">
      <w:pPr>
        <w:pStyle w:val="H23GA"/>
        <w:rPr>
          <w:rtl/>
        </w:rPr>
      </w:pPr>
      <w:r>
        <w:tab/>
      </w:r>
      <w:r>
        <w:tab/>
      </w:r>
      <w:r w:rsidRPr="00822706">
        <w:rPr>
          <w:rtl/>
        </w:rPr>
        <w:t>التعاون الدولي (المادة 32)</w:t>
      </w:r>
    </w:p>
    <w:p w:rsidR="00562772" w:rsidRPr="00822706" w:rsidRDefault="00562772" w:rsidP="00562772">
      <w:pPr>
        <w:pStyle w:val="H23GA"/>
        <w:rPr>
          <w:rtl/>
        </w:rPr>
      </w:pPr>
      <w:r>
        <w:rPr>
          <w:rFonts w:hint="cs"/>
          <w:rtl/>
        </w:rPr>
        <w:tab/>
      </w:r>
      <w:r>
        <w:rPr>
          <w:rFonts w:hint="cs"/>
          <w:rtl/>
        </w:rPr>
        <w:tab/>
      </w:r>
      <w:r w:rsidRPr="00822706">
        <w:rPr>
          <w:rtl/>
        </w:rPr>
        <w:t>التنفيذ والرصد على الصعيد الوطني (المادة 33)</w:t>
      </w:r>
    </w:p>
    <w:p w:rsidR="00562772" w:rsidRPr="00130D5D" w:rsidRDefault="00562772" w:rsidP="00562772">
      <w:pPr>
        <w:pStyle w:val="HChGA"/>
        <w:rPr>
          <w:rtl/>
          <w:lang w:eastAsia="zh-TW"/>
        </w:rPr>
      </w:pPr>
      <w:r>
        <w:rPr>
          <w:rFonts w:hint="cs"/>
          <w:rtl/>
          <w:lang w:eastAsia="zh-TW"/>
        </w:rPr>
        <w:tab/>
      </w:r>
      <w:r w:rsidRPr="00130D5D">
        <w:rPr>
          <w:rtl/>
          <w:lang w:eastAsia="zh-TW"/>
        </w:rPr>
        <w:t>رابعا</w:t>
      </w:r>
      <w:r>
        <w:rPr>
          <w:rFonts w:hint="cs"/>
          <w:rtl/>
          <w:lang w:eastAsia="zh-TW"/>
        </w:rPr>
        <w:t>ً</w:t>
      </w:r>
      <w:r w:rsidRPr="00130D5D">
        <w:rPr>
          <w:rtl/>
          <w:lang w:eastAsia="zh-TW"/>
        </w:rPr>
        <w:t>-</w:t>
      </w:r>
      <w:r>
        <w:rPr>
          <w:rFonts w:hint="cs"/>
          <w:rtl/>
          <w:lang w:eastAsia="zh-TW"/>
        </w:rPr>
        <w:tab/>
      </w:r>
      <w:r w:rsidRPr="00130D5D">
        <w:rPr>
          <w:rtl/>
          <w:lang w:eastAsia="zh-TW"/>
        </w:rPr>
        <w:t xml:space="preserve">المتابعة </w:t>
      </w:r>
    </w:p>
    <w:p w:rsidR="00562772" w:rsidRPr="00130D5D" w:rsidRDefault="00562772" w:rsidP="00562772">
      <w:pPr>
        <w:pStyle w:val="H23GA"/>
        <w:rPr>
          <w:rtl/>
        </w:rPr>
      </w:pPr>
      <w:r w:rsidRPr="00130D5D">
        <w:tab/>
      </w:r>
      <w:r w:rsidRPr="00130D5D">
        <w:tab/>
      </w:r>
      <w:r w:rsidRPr="00130D5D">
        <w:rPr>
          <w:rtl/>
        </w:rPr>
        <w:t>نشر المعلومات</w:t>
      </w:r>
    </w:p>
    <w:p w:rsidR="00562772" w:rsidRPr="00305E18" w:rsidRDefault="00562772" w:rsidP="00562772">
      <w:pPr>
        <w:pStyle w:val="SingleTxtGA"/>
        <w:rPr>
          <w:b/>
          <w:bCs/>
          <w:rtl/>
          <w:lang w:eastAsia="zh-TW"/>
        </w:rPr>
      </w:pPr>
      <w:r>
        <w:rPr>
          <w:rFonts w:hint="cs"/>
          <w:rtl/>
          <w:lang w:eastAsia="zh-TW"/>
        </w:rPr>
        <w:t>63-</w:t>
      </w:r>
      <w:r>
        <w:rPr>
          <w:rFonts w:hint="cs"/>
          <w:rtl/>
          <w:lang w:eastAsia="zh-TW"/>
        </w:rPr>
        <w:tab/>
      </w:r>
      <w:r w:rsidRPr="00305E18">
        <w:rPr>
          <w:b/>
          <w:bCs/>
          <w:rtl/>
          <w:lang w:eastAsia="zh-TW"/>
        </w:rPr>
        <w:t xml:space="preserve">تطلب اللجنة إلى الدولة الطرف أن تقدم، في غضون 12 شهراً من اعتماد هذه الملاحظات الختامية ووفقاً للمادة 35(2) من الاتفاقية، معلومات عن التدابير المتخذة لتنفيذ توصيات اللجنة الواردة في الفقرتين </w:t>
      </w:r>
      <w:r w:rsidRPr="00305E18">
        <w:rPr>
          <w:b/>
          <w:bCs/>
          <w:color w:val="FF0000"/>
          <w:lang w:eastAsia="zh-TW"/>
        </w:rPr>
        <w:t>XX</w:t>
      </w:r>
      <w:r w:rsidRPr="00305E18">
        <w:rPr>
          <w:b/>
          <w:bCs/>
          <w:rtl/>
          <w:lang w:eastAsia="zh-TW"/>
        </w:rPr>
        <w:t xml:space="preserve"> (</w:t>
      </w:r>
      <w:r w:rsidRPr="00305E18">
        <w:rPr>
          <w:b/>
          <w:bCs/>
          <w:color w:val="FF0000"/>
          <w:rtl/>
          <w:lang w:eastAsia="zh-TW"/>
        </w:rPr>
        <w:t>موضوع التوصية</w:t>
      </w:r>
      <w:r w:rsidRPr="00305E18">
        <w:rPr>
          <w:b/>
          <w:bCs/>
          <w:rtl/>
          <w:lang w:eastAsia="zh-TW"/>
        </w:rPr>
        <w:t>) و</w:t>
      </w:r>
      <w:r w:rsidRPr="00305E18">
        <w:rPr>
          <w:b/>
          <w:bCs/>
          <w:color w:val="FF0000"/>
          <w:lang w:eastAsia="zh-TW"/>
        </w:rPr>
        <w:t>XX</w:t>
      </w:r>
      <w:r w:rsidRPr="00305E18">
        <w:rPr>
          <w:b/>
          <w:bCs/>
          <w:rtl/>
          <w:lang w:eastAsia="zh-TW"/>
        </w:rPr>
        <w:t xml:space="preserve"> (</w:t>
      </w:r>
      <w:r w:rsidRPr="00305E18">
        <w:rPr>
          <w:b/>
          <w:bCs/>
          <w:color w:val="FF0000"/>
          <w:rtl/>
          <w:lang w:eastAsia="zh-TW"/>
        </w:rPr>
        <w:t>موضوع التوصية</w:t>
      </w:r>
      <w:r w:rsidRPr="00305E18">
        <w:rPr>
          <w:b/>
          <w:bCs/>
          <w:rtl/>
          <w:lang w:eastAsia="zh-TW"/>
        </w:rPr>
        <w:t>).</w:t>
      </w:r>
    </w:p>
    <w:p w:rsidR="00562772" w:rsidRPr="00BD2A1F" w:rsidRDefault="00562772" w:rsidP="00562772">
      <w:pPr>
        <w:pStyle w:val="SingleTxtGA"/>
        <w:rPr>
          <w:rtl/>
          <w:lang w:eastAsia="zh-TW"/>
        </w:rPr>
      </w:pPr>
      <w:r>
        <w:rPr>
          <w:rFonts w:hint="cs"/>
          <w:rtl/>
          <w:lang w:eastAsia="zh-TW"/>
        </w:rPr>
        <w:t>64-</w:t>
      </w:r>
      <w:r>
        <w:rPr>
          <w:rFonts w:hint="cs"/>
          <w:rtl/>
          <w:lang w:eastAsia="zh-TW"/>
        </w:rPr>
        <w:tab/>
      </w:r>
      <w:r w:rsidRPr="00BD2A1F">
        <w:rPr>
          <w:b/>
          <w:bCs/>
          <w:rtl/>
          <w:lang w:eastAsia="zh-TW"/>
        </w:rPr>
        <w:t xml:space="preserve">وتطلب اللجنة إلى الدولة الطرف أن تنفذ التوصيات الواردة في هذه الملاحظات الختامية. وتوصي اللجنة الدولة الطرف بأن تحيل هذه الملاحظات الختامية، للنظر فيها واتخاذ إجراءات بشأنها، إلى أعضاء الحكومة والبرلمان والمسؤولين في الوزارات المختصة والسلطة القضائية وأعضاء المجموعات المهنية المعنية، مثل العاملين في التعليم والمهن الطبية والقانونية، وكذلك إلى السلطات المحلية والقطاع الخاص ووسائط الإعلام، باستخدام استراتيجيات التواصل الاجتماعي الحديثة. </w:t>
      </w:r>
      <w:r w:rsidRPr="00BD2A1F">
        <w:rPr>
          <w:highlight w:val="yellow"/>
          <w:rtl/>
          <w:lang w:eastAsia="zh-TW"/>
        </w:rPr>
        <w:t>[[</w:t>
      </w:r>
      <w:r w:rsidRPr="00BD2A1F">
        <w:rPr>
          <w:b/>
          <w:bCs/>
          <w:highlight w:val="yellow"/>
          <w:rtl/>
          <w:lang w:eastAsia="zh-TW"/>
        </w:rPr>
        <w:t>قد تختلف الصيغة.</w:t>
      </w:r>
      <w:r w:rsidRPr="00BD2A1F">
        <w:rPr>
          <w:highlight w:val="yellow"/>
          <w:rtl/>
          <w:lang w:eastAsia="zh-TW"/>
        </w:rPr>
        <w:t>]]</w:t>
      </w:r>
    </w:p>
    <w:p w:rsidR="00562772" w:rsidRPr="00C21128" w:rsidRDefault="00562772" w:rsidP="00562772">
      <w:pPr>
        <w:pStyle w:val="SingleTxtGA"/>
        <w:rPr>
          <w:b/>
          <w:bCs/>
          <w:rtl/>
          <w:lang w:eastAsia="zh-TW"/>
        </w:rPr>
      </w:pPr>
      <w:r>
        <w:rPr>
          <w:rFonts w:hint="cs"/>
          <w:rtl/>
          <w:lang w:eastAsia="zh-TW"/>
        </w:rPr>
        <w:t>65-</w:t>
      </w:r>
      <w:r>
        <w:rPr>
          <w:rFonts w:hint="cs"/>
          <w:rtl/>
          <w:lang w:eastAsia="zh-TW"/>
        </w:rPr>
        <w:tab/>
      </w:r>
      <w:r w:rsidRPr="00C21128">
        <w:rPr>
          <w:b/>
          <w:bCs/>
          <w:rtl/>
          <w:lang w:eastAsia="zh-TW"/>
        </w:rPr>
        <w:t>وتشجع اللجنة الدولة الطرف بقوة على إشراك منظمات المجتمع المدني،</w:t>
      </w:r>
      <w:r>
        <w:rPr>
          <w:b/>
          <w:bCs/>
          <w:rtl/>
          <w:lang w:eastAsia="zh-TW"/>
        </w:rPr>
        <w:t xml:space="preserve"> ولا </w:t>
      </w:r>
      <w:r w:rsidRPr="00C21128">
        <w:rPr>
          <w:b/>
          <w:bCs/>
          <w:rtl/>
          <w:lang w:eastAsia="zh-TW"/>
        </w:rPr>
        <w:t>سيما منظمات الأشخاص ذوي الإعاقة، في إعداد تقريرها الدوري.</w:t>
      </w:r>
    </w:p>
    <w:p w:rsidR="00562772" w:rsidRPr="00C21128" w:rsidRDefault="00562772" w:rsidP="00562772">
      <w:pPr>
        <w:pStyle w:val="SingleTxtGA"/>
        <w:rPr>
          <w:b/>
          <w:bCs/>
          <w:rtl/>
          <w:lang w:eastAsia="zh-TW"/>
        </w:rPr>
      </w:pPr>
      <w:r>
        <w:rPr>
          <w:rFonts w:hint="cs"/>
          <w:rtl/>
          <w:lang w:eastAsia="zh-TW"/>
        </w:rPr>
        <w:t>66-</w:t>
      </w:r>
      <w:r>
        <w:rPr>
          <w:rFonts w:hint="cs"/>
          <w:rtl/>
          <w:lang w:eastAsia="zh-TW"/>
        </w:rPr>
        <w:tab/>
      </w:r>
      <w:r w:rsidRPr="00C21128">
        <w:rPr>
          <w:b/>
          <w:bCs/>
          <w:rtl/>
          <w:lang w:eastAsia="zh-TW"/>
        </w:rPr>
        <w:t>وتطلب اللجنة إلى الدولة الطرف أن تنشر هذه الملاحظات الختامية على نطاق واسع،</w:t>
      </w:r>
      <w:r>
        <w:rPr>
          <w:b/>
          <w:bCs/>
          <w:rtl/>
          <w:lang w:eastAsia="zh-TW"/>
        </w:rPr>
        <w:t xml:space="preserve"> بما </w:t>
      </w:r>
      <w:r w:rsidRPr="00C21128">
        <w:rPr>
          <w:b/>
          <w:bCs/>
          <w:rtl/>
          <w:lang w:eastAsia="zh-TW"/>
        </w:rPr>
        <w:t>يشمل المنظمات غير الحكومية ومنظمات الأشخاص ذوي الإعاقة، والأشخاص ذوي الإعاقة أنفسهم وأفراد أسرهم، باللغات الوطنية ولغات الأقليات،</w:t>
      </w:r>
      <w:r>
        <w:rPr>
          <w:b/>
          <w:bCs/>
          <w:rtl/>
          <w:lang w:eastAsia="zh-TW"/>
        </w:rPr>
        <w:t xml:space="preserve"> بما </w:t>
      </w:r>
      <w:r w:rsidRPr="00C21128">
        <w:rPr>
          <w:b/>
          <w:bCs/>
          <w:rtl/>
          <w:lang w:eastAsia="zh-TW"/>
        </w:rPr>
        <w:t>في ذلك لغة الإشارة،</w:t>
      </w:r>
      <w:r>
        <w:rPr>
          <w:b/>
          <w:bCs/>
          <w:rtl/>
          <w:lang w:eastAsia="zh-TW"/>
        </w:rPr>
        <w:t xml:space="preserve"> وفي </w:t>
      </w:r>
      <w:r w:rsidRPr="00C21128">
        <w:rPr>
          <w:b/>
          <w:bCs/>
          <w:rtl/>
          <w:lang w:eastAsia="zh-TW"/>
        </w:rPr>
        <w:t>أشكال يسهل الاطلاع عليها، وإتاحتها في موقع الحكومة الشبكي المتعلق بحقوق الإنسان.</w:t>
      </w:r>
    </w:p>
    <w:p w:rsidR="00562772" w:rsidRPr="00BD2A1F" w:rsidRDefault="00562772" w:rsidP="00562772">
      <w:pPr>
        <w:pStyle w:val="H23GA"/>
        <w:rPr>
          <w:rtl/>
        </w:rPr>
      </w:pPr>
      <w:r>
        <w:tab/>
      </w:r>
      <w:r>
        <w:tab/>
      </w:r>
      <w:r w:rsidRPr="00BD2A1F">
        <w:rPr>
          <w:rtl/>
        </w:rPr>
        <w:t>التقرير الدوري المقبل</w:t>
      </w:r>
    </w:p>
    <w:p w:rsidR="00562772" w:rsidRDefault="00562772" w:rsidP="00562772">
      <w:pPr>
        <w:pStyle w:val="SingleTxtGA"/>
        <w:rPr>
          <w:b/>
          <w:bCs/>
          <w:rtl/>
          <w:lang w:eastAsia="zh-TW"/>
        </w:rPr>
      </w:pPr>
      <w:r>
        <w:rPr>
          <w:rFonts w:hint="cs"/>
          <w:rtl/>
          <w:lang w:eastAsia="zh-TW"/>
        </w:rPr>
        <w:t>67-</w:t>
      </w:r>
      <w:r>
        <w:rPr>
          <w:rFonts w:hint="cs"/>
          <w:rtl/>
          <w:lang w:eastAsia="zh-TW"/>
        </w:rPr>
        <w:tab/>
      </w:r>
      <w:r w:rsidRPr="00BD2A1F">
        <w:rPr>
          <w:b/>
          <w:bCs/>
          <w:rtl/>
          <w:lang w:eastAsia="zh-TW"/>
        </w:rPr>
        <w:t>تطلب اللجنة إلى الدولة الطرف أن تقدم تقريرها</w:t>
      </w:r>
      <w:r>
        <w:rPr>
          <w:rtl/>
          <w:lang w:eastAsia="zh-TW"/>
        </w:rPr>
        <w:t xml:space="preserve"> </w:t>
      </w:r>
      <w:r w:rsidRPr="00BD2A1F">
        <w:rPr>
          <w:color w:val="FF0000"/>
          <w:rtl/>
          <w:lang w:eastAsia="zh-TW"/>
        </w:rPr>
        <w:t>[</w:t>
      </w:r>
      <w:r w:rsidRPr="00BD2A1F">
        <w:rPr>
          <w:b/>
          <w:bCs/>
          <w:color w:val="FF0000"/>
          <w:rtl/>
          <w:lang w:eastAsia="zh-TW"/>
        </w:rPr>
        <w:t>الأولي</w:t>
      </w:r>
      <w:r w:rsidRPr="00BD2A1F">
        <w:rPr>
          <w:color w:val="FF0000"/>
          <w:rtl/>
          <w:lang w:eastAsia="zh-TW"/>
        </w:rPr>
        <w:t>] [</w:t>
      </w:r>
      <w:r w:rsidRPr="00BD2A1F">
        <w:rPr>
          <w:b/>
          <w:bCs/>
          <w:color w:val="FF0000"/>
          <w:rtl/>
          <w:lang w:eastAsia="zh-TW"/>
        </w:rPr>
        <w:t>الجامع للتقارير الدورية</w:t>
      </w:r>
      <w:r w:rsidRPr="00BD2A1F">
        <w:rPr>
          <w:color w:val="FF0000"/>
          <w:rtl/>
          <w:lang w:eastAsia="zh-TW"/>
        </w:rPr>
        <w:t xml:space="preserve"> [</w:t>
      </w:r>
      <w:r w:rsidRPr="00BD2A1F">
        <w:rPr>
          <w:b/>
          <w:bCs/>
          <w:color w:val="FF0000"/>
          <w:rtl/>
          <w:lang w:eastAsia="zh-TW"/>
        </w:rPr>
        <w:t>الرقم</w:t>
      </w:r>
      <w:r w:rsidRPr="00BD2A1F">
        <w:rPr>
          <w:color w:val="FF0000"/>
          <w:rtl/>
          <w:lang w:eastAsia="zh-TW"/>
        </w:rPr>
        <w:t>]] [</w:t>
      </w:r>
      <w:r w:rsidRPr="00BD2A1F">
        <w:rPr>
          <w:b/>
          <w:bCs/>
          <w:color w:val="FF0000"/>
          <w:rtl/>
          <w:lang w:eastAsia="zh-TW"/>
        </w:rPr>
        <w:t>الدوري</w:t>
      </w:r>
      <w:r w:rsidRPr="00BD2A1F">
        <w:rPr>
          <w:color w:val="FF0000"/>
          <w:rtl/>
          <w:lang w:eastAsia="zh-TW"/>
        </w:rPr>
        <w:t xml:space="preserve"> [</w:t>
      </w:r>
      <w:r w:rsidRPr="00BD2A1F">
        <w:rPr>
          <w:b/>
          <w:bCs/>
          <w:color w:val="FF0000"/>
          <w:rtl/>
          <w:lang w:eastAsia="zh-TW"/>
        </w:rPr>
        <w:t>الرقم</w:t>
      </w:r>
      <w:r w:rsidRPr="00BD2A1F">
        <w:rPr>
          <w:color w:val="FF0000"/>
          <w:rtl/>
          <w:lang w:eastAsia="zh-TW"/>
        </w:rPr>
        <w:t>]]</w:t>
      </w:r>
      <w:r>
        <w:rPr>
          <w:rtl/>
          <w:lang w:eastAsia="zh-TW"/>
        </w:rPr>
        <w:t xml:space="preserve"> </w:t>
      </w:r>
      <w:r w:rsidRPr="00BD2A1F">
        <w:rPr>
          <w:b/>
          <w:bCs/>
          <w:rtl/>
          <w:lang w:eastAsia="zh-TW"/>
        </w:rPr>
        <w:t xml:space="preserve">بحلول </w:t>
      </w:r>
      <w:r w:rsidRPr="00BD2A1F">
        <w:rPr>
          <w:b/>
          <w:bCs/>
          <w:color w:val="FF0000"/>
          <w:rtl/>
          <w:lang w:eastAsia="zh-TW"/>
        </w:rPr>
        <w:t xml:space="preserve">التاريخ </w:t>
      </w:r>
      <w:r w:rsidRPr="00BD2A1F">
        <w:rPr>
          <w:b/>
          <w:bCs/>
          <w:rtl/>
          <w:lang w:eastAsia="zh-TW"/>
        </w:rPr>
        <w:t>وأن تدرج فيه معلومات عن تنفيذ التوصيات الواردة في هذه الملاحظات الختامية. وتطلب اللجنة أيضاً إلى الدولة الطرف أن تنظر في تقديم التقرير المذكور أعلاه عملاً بإجراء اللجنة المبسط لتقديم التقارير، الذي تعد اللجنة بموجبه قائمة مسائل قبل التاريخ المحدد لتقديم تقرير الدولة الطرف بسنة واحدة على الأقل. وتشكل ردود الدولة الطرف على قائمة المسائل هذه تقريرها</w:t>
      </w:r>
      <w:r>
        <w:rPr>
          <w:rtl/>
          <w:lang w:eastAsia="zh-TW"/>
        </w:rPr>
        <w:t>.</w:t>
      </w:r>
    </w:p>
    <w:p w:rsidR="00562772" w:rsidRPr="00C21128" w:rsidRDefault="00562772" w:rsidP="00562772">
      <w:pPr>
        <w:pStyle w:val="SingleTxtGA"/>
        <w:jc w:val="center"/>
        <w:rPr>
          <w:u w:val="single"/>
          <w:lang w:eastAsia="zh-TW"/>
        </w:rPr>
      </w:pPr>
      <w:r>
        <w:rPr>
          <w:rFonts w:hint="cs"/>
          <w:u w:val="single"/>
          <w:rtl/>
          <w:lang w:eastAsia="zh-TW"/>
        </w:rPr>
        <w:lastRenderedPageBreak/>
        <w:tab/>
      </w:r>
      <w:r>
        <w:rPr>
          <w:rFonts w:hint="cs"/>
          <w:u w:val="single"/>
          <w:rtl/>
          <w:lang w:eastAsia="zh-TW"/>
        </w:rPr>
        <w:tab/>
      </w:r>
      <w:r>
        <w:rPr>
          <w:rFonts w:hint="cs"/>
          <w:u w:val="single"/>
          <w:rtl/>
          <w:lang w:eastAsia="zh-TW"/>
        </w:rPr>
        <w:tab/>
      </w:r>
    </w:p>
    <w:sectPr w:rsidR="00562772" w:rsidRPr="00C21128"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562772" w:rsidP="00E61B92">
    <w:pPr>
      <w:pStyle w:val="Pieddepage"/>
      <w:tabs>
        <w:tab w:val="right" w:pos="9598"/>
      </w:tabs>
    </w:pPr>
    <w:r>
      <w:fldChar w:fldCharType="begin"/>
    </w:r>
    <w:r>
      <w:instrText xml:space="preserve"> DOCPROPERTY  gdocf  \* MERGEFORMAT </w:instrText>
    </w:r>
    <w:r>
      <w:fldChar w:fldCharType="separate"/>
    </w:r>
    <w:proofErr w:type="spellStart"/>
    <w:r w:rsidR="00F9404A">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Pr>
        <w:b/>
        <w:noProof/>
        <w:sz w:val="18"/>
      </w:rPr>
      <w:t>4</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562772">
      <w:rPr>
        <w:b/>
        <w:noProof/>
        <w:sz w:val="18"/>
        <w:lang w:val="en-US"/>
      </w:rPr>
      <w:t>3</w:t>
    </w:r>
    <w:r w:rsidRPr="005B635A">
      <w:rPr>
        <w:b/>
        <w:sz w:val="18"/>
        <w:lang w:val="en-US"/>
      </w:rPr>
      <w:fldChar w:fldCharType="end"/>
    </w:r>
    <w:r>
      <w:rPr>
        <w:b/>
        <w:sz w:val="18"/>
        <w:lang w:val="en-US"/>
      </w:rPr>
      <w:tab/>
    </w:r>
    <w:r w:rsidR="00562772">
      <w:fldChar w:fldCharType="begin"/>
    </w:r>
    <w:r w:rsidR="00562772">
      <w:instrText xml:space="preserve"> DOCPROPERTY  gdocf  \* MERGEFORMAT </w:instrText>
    </w:r>
    <w:r w:rsidR="00562772">
      <w:fldChar w:fldCharType="separate"/>
    </w:r>
    <w:proofErr w:type="spellStart"/>
    <w:r w:rsidR="00F9404A">
      <w:t>gdocf</w:t>
    </w:r>
    <w:proofErr w:type="spellEnd"/>
    <w:r w:rsidR="0056277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F9404A">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F9404A">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562772" w:rsidRPr="00C21128" w:rsidRDefault="00562772" w:rsidP="00562772">
      <w:pPr>
        <w:pStyle w:val="FootnoteText1"/>
      </w:pPr>
      <w:r w:rsidRPr="00C21128">
        <w:rPr>
          <w:rtl/>
        </w:rPr>
        <w:t>*</w:t>
      </w:r>
      <w:r w:rsidRPr="00C21128">
        <w:rPr>
          <w:rtl/>
        </w:rPr>
        <w:tab/>
      </w:r>
      <w:r w:rsidRPr="00C21128">
        <w:rPr>
          <w:rtl/>
          <w:lang w:eastAsia="zh-TW"/>
        </w:rPr>
        <w:t xml:space="preserve">اعتمدتها اللجنة في دورتها </w:t>
      </w:r>
      <w:r w:rsidRPr="00C21128">
        <w:rPr>
          <w:color w:val="FF0000"/>
          <w:rtl/>
          <w:lang w:eastAsia="zh-TW"/>
        </w:rPr>
        <w:t xml:space="preserve">الرقم </w:t>
      </w:r>
      <w:r w:rsidRPr="00C21128">
        <w:rPr>
          <w:rtl/>
          <w:lang w:eastAsia="zh-TW"/>
        </w:rPr>
        <w:t>(</w:t>
      </w:r>
      <w:r w:rsidRPr="00C21128">
        <w:rPr>
          <w:color w:val="FF0000"/>
          <w:rtl/>
          <w:lang w:eastAsia="zh-TW"/>
        </w:rPr>
        <w:t>التواريخ</w:t>
      </w:r>
      <w:r w:rsidRPr="00C21128">
        <w:rPr>
          <w:rtl/>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562772" w:rsidP="00E61B92">
    <w:pPr>
      <w:pStyle w:val="En-tte"/>
      <w:jc w:val="right"/>
    </w:pPr>
    <w:r>
      <w:fldChar w:fldCharType="begin"/>
    </w:r>
    <w:r>
      <w:instrText xml:space="preserve"> DOCPROPERTY  symh  \* MERGEFORMAT </w:instrText>
    </w:r>
    <w:r>
      <w:fldChar w:fldCharType="separate"/>
    </w:r>
    <w:proofErr w:type="spellStart"/>
    <w:r w:rsidR="00F9404A">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562772">
    <w:pPr>
      <w:pStyle w:val="En-tte"/>
    </w:pPr>
    <w:r>
      <w:fldChar w:fldCharType="begin"/>
    </w:r>
    <w:r>
      <w:instrText xml:space="preserve"> DOCPROPERTY  symh  \* MERGEFORMAT </w:instrText>
    </w:r>
    <w:r>
      <w:fldChar w:fldCharType="separate"/>
    </w:r>
    <w:proofErr w:type="spellStart"/>
    <w:r w:rsidR="00F9404A">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1044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47E5A"/>
    <w:rsid w:val="000505CF"/>
    <w:rsid w:val="000671EC"/>
    <w:rsid w:val="000A2113"/>
    <w:rsid w:val="000A354B"/>
    <w:rsid w:val="000C196E"/>
    <w:rsid w:val="000D701C"/>
    <w:rsid w:val="000E1A26"/>
    <w:rsid w:val="000E2A71"/>
    <w:rsid w:val="000E4D6C"/>
    <w:rsid w:val="000F5AD2"/>
    <w:rsid w:val="0011410B"/>
    <w:rsid w:val="001467EC"/>
    <w:rsid w:val="00160263"/>
    <w:rsid w:val="00167825"/>
    <w:rsid w:val="00181F96"/>
    <w:rsid w:val="0018231C"/>
    <w:rsid w:val="001A1371"/>
    <w:rsid w:val="001B346A"/>
    <w:rsid w:val="001E1CAD"/>
    <w:rsid w:val="001E290D"/>
    <w:rsid w:val="002144FA"/>
    <w:rsid w:val="002234D2"/>
    <w:rsid w:val="0023469A"/>
    <w:rsid w:val="00243C8A"/>
    <w:rsid w:val="00262072"/>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8656B"/>
    <w:rsid w:val="004908D8"/>
    <w:rsid w:val="00492D24"/>
    <w:rsid w:val="004956DC"/>
    <w:rsid w:val="004B0A1C"/>
    <w:rsid w:val="004D298E"/>
    <w:rsid w:val="0054472E"/>
    <w:rsid w:val="00562315"/>
    <w:rsid w:val="00562772"/>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49E1"/>
    <w:rsid w:val="0090370F"/>
    <w:rsid w:val="009269D2"/>
    <w:rsid w:val="00942135"/>
    <w:rsid w:val="009521B0"/>
    <w:rsid w:val="00957053"/>
    <w:rsid w:val="00981C12"/>
    <w:rsid w:val="00993C68"/>
    <w:rsid w:val="009A7E9F"/>
    <w:rsid w:val="009B1C5D"/>
    <w:rsid w:val="009E1133"/>
    <w:rsid w:val="009E5018"/>
    <w:rsid w:val="009E5456"/>
    <w:rsid w:val="00A04297"/>
    <w:rsid w:val="00A12B37"/>
    <w:rsid w:val="00A34EA8"/>
    <w:rsid w:val="00A473FF"/>
    <w:rsid w:val="00A53B98"/>
    <w:rsid w:val="00A65899"/>
    <w:rsid w:val="00A67AF5"/>
    <w:rsid w:val="00A93D50"/>
    <w:rsid w:val="00A94CA3"/>
    <w:rsid w:val="00AB6758"/>
    <w:rsid w:val="00AD014E"/>
    <w:rsid w:val="00AE40F1"/>
    <w:rsid w:val="00B10943"/>
    <w:rsid w:val="00B13763"/>
    <w:rsid w:val="00B17C70"/>
    <w:rsid w:val="00B2689A"/>
    <w:rsid w:val="00B44590"/>
    <w:rsid w:val="00B477A4"/>
    <w:rsid w:val="00B54045"/>
    <w:rsid w:val="00B75EE3"/>
    <w:rsid w:val="00BC588D"/>
    <w:rsid w:val="00BF3BEF"/>
    <w:rsid w:val="00C11192"/>
    <w:rsid w:val="00C17F74"/>
    <w:rsid w:val="00C246A8"/>
    <w:rsid w:val="00C438D7"/>
    <w:rsid w:val="00C51057"/>
    <w:rsid w:val="00C639B7"/>
    <w:rsid w:val="00C71AB4"/>
    <w:rsid w:val="00C71DEE"/>
    <w:rsid w:val="00C81B50"/>
    <w:rsid w:val="00C87F1F"/>
    <w:rsid w:val="00CD1801"/>
    <w:rsid w:val="00CD63DA"/>
    <w:rsid w:val="00D10EF1"/>
    <w:rsid w:val="00D2043A"/>
    <w:rsid w:val="00D42810"/>
    <w:rsid w:val="00D84435"/>
    <w:rsid w:val="00D914A7"/>
    <w:rsid w:val="00DC1D29"/>
    <w:rsid w:val="00DD13C3"/>
    <w:rsid w:val="00DD596E"/>
    <w:rsid w:val="00DD621E"/>
    <w:rsid w:val="00DF0575"/>
    <w:rsid w:val="00DF15A0"/>
    <w:rsid w:val="00E254FD"/>
    <w:rsid w:val="00E31AD4"/>
    <w:rsid w:val="00E61B92"/>
    <w:rsid w:val="00E70E04"/>
    <w:rsid w:val="00E71938"/>
    <w:rsid w:val="00E76499"/>
    <w:rsid w:val="00EC05A7"/>
    <w:rsid w:val="00EC4B6B"/>
    <w:rsid w:val="00EF1EE5"/>
    <w:rsid w:val="00EF7CF3"/>
    <w:rsid w:val="00F302BC"/>
    <w:rsid w:val="00F33063"/>
    <w:rsid w:val="00F56723"/>
    <w:rsid w:val="00F763B4"/>
    <w:rsid w:val="00F900C3"/>
    <w:rsid w:val="00F9404A"/>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49"/>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7DF9-5C5E-4DA3-B36B-914E0096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658</Words>
  <Characters>3620</Characters>
  <Application>Microsoft Office Word</Application>
  <DocSecurity>0</DocSecurity>
  <Lines>30</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38</cp:revision>
  <cp:lastPrinted>2018-06-25T07:46:00Z</cp:lastPrinted>
  <dcterms:created xsi:type="dcterms:W3CDTF">2018-06-22T08:39:00Z</dcterms:created>
  <dcterms:modified xsi:type="dcterms:W3CDTF">2018-06-25T08:02:00Z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