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CD40B0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CD40B0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D40B0" w:rsidRDefault="00D44142" w:rsidP="00D44142">
            <w:pPr>
              <w:spacing w:after="80" w:line="300" w:lineRule="exact"/>
              <w:rPr>
                <w:sz w:val="28"/>
              </w:rPr>
            </w:pPr>
            <w:r w:rsidRPr="00CD40B0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D40B0" w:rsidRDefault="00607466" w:rsidP="00CF1866">
            <w:pPr>
              <w:spacing w:after="20"/>
              <w:jc w:val="right"/>
            </w:pPr>
            <w:r w:rsidRPr="00CD40B0">
              <w:rPr>
                <w:sz w:val="40"/>
              </w:rPr>
              <w:t>C</w:t>
            </w:r>
            <w:r w:rsidR="004A19E3" w:rsidRPr="00CD40B0">
              <w:rPr>
                <w:sz w:val="40"/>
              </w:rPr>
              <w:t>R</w:t>
            </w:r>
            <w:r w:rsidR="00CF1866" w:rsidRPr="00CD40B0">
              <w:rPr>
                <w:sz w:val="40"/>
              </w:rPr>
              <w:t>PD</w:t>
            </w:r>
            <w:r w:rsidR="00D44142" w:rsidRPr="00CD40B0">
              <w:t>/</w:t>
            </w:r>
            <w:r w:rsidR="00C531F6">
              <w:fldChar w:fldCharType="begin"/>
            </w:r>
            <w:r w:rsidR="00C531F6">
              <w:instrText xml:space="preserve"> DOCPROPERTY  sym1  \* MERGEFORMAT </w:instrText>
            </w:r>
            <w:r w:rsidR="00C531F6">
              <w:fldChar w:fldCharType="separate"/>
            </w:r>
            <w:r w:rsidR="00F520C6" w:rsidRPr="00CD40B0">
              <w:t>sym1</w:t>
            </w:r>
            <w:r w:rsidR="00C531F6">
              <w:fldChar w:fldCharType="end"/>
            </w:r>
          </w:p>
        </w:tc>
      </w:tr>
      <w:tr w:rsidR="002D5AAC" w:rsidRPr="00CD40B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D40B0" w:rsidRDefault="002E5067" w:rsidP="00F90E40">
            <w:pPr>
              <w:spacing w:before="120"/>
              <w:jc w:val="center"/>
            </w:pPr>
            <w:r w:rsidRPr="00CD40B0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D40B0" w:rsidRDefault="00CF18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D40B0">
              <w:rPr>
                <w:b/>
                <w:sz w:val="34"/>
                <w:szCs w:val="40"/>
              </w:rPr>
              <w:t>Конвенция о правах</w:t>
            </w:r>
            <w:r w:rsidRPr="00CD40B0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CD40B0" w:rsidRDefault="00207121" w:rsidP="00207121">
            <w:pPr>
              <w:spacing w:before="240" w:line="240" w:lineRule="exact"/>
            </w:pPr>
            <w:r w:rsidRPr="00CD40B0">
              <w:t xml:space="preserve">Distr.: </w:t>
            </w:r>
            <w:r w:rsidRPr="00CD40B0">
              <w:fldChar w:fldCharType="begin"/>
            </w:r>
            <w:r w:rsidRPr="00CD40B0">
              <w:instrText xml:space="preserve"> DOCPROPERTY  dist  \* MERGEFORMAT </w:instrText>
            </w:r>
            <w:r w:rsidRPr="00CD40B0">
              <w:fldChar w:fldCharType="separate"/>
            </w:r>
            <w:proofErr w:type="spellStart"/>
            <w:r w:rsidR="00F520C6" w:rsidRPr="00CD40B0">
              <w:t>dist</w:t>
            </w:r>
            <w:proofErr w:type="spellEnd"/>
            <w:r w:rsidRPr="00CD40B0">
              <w:fldChar w:fldCharType="end"/>
            </w:r>
          </w:p>
          <w:p w:rsidR="00207121" w:rsidRPr="00CD40B0" w:rsidRDefault="00207121" w:rsidP="00207121">
            <w:r w:rsidRPr="00CD40B0">
              <w:fldChar w:fldCharType="begin"/>
            </w:r>
            <w:r w:rsidRPr="00CD40B0">
              <w:instrText xml:space="preserve"> DOCPROPERTY  date  \* MERGEFORMAT </w:instrText>
            </w:r>
            <w:r w:rsidRPr="00CD40B0">
              <w:fldChar w:fldCharType="separate"/>
            </w:r>
            <w:proofErr w:type="spellStart"/>
            <w:r w:rsidR="00F520C6" w:rsidRPr="00CD40B0">
              <w:t>date</w:t>
            </w:r>
            <w:proofErr w:type="spellEnd"/>
            <w:r w:rsidRPr="00CD40B0">
              <w:fldChar w:fldCharType="end"/>
            </w:r>
          </w:p>
          <w:p w:rsidR="00207121" w:rsidRPr="00CD40B0" w:rsidRDefault="00207121" w:rsidP="00207121">
            <w:r w:rsidRPr="00CD40B0">
              <w:fldChar w:fldCharType="begin"/>
            </w:r>
            <w:r w:rsidRPr="00CD40B0">
              <w:instrText xml:space="preserve"> DOCPROPERTY  tlang  \* MERGEFORMAT </w:instrText>
            </w:r>
            <w:r w:rsidRPr="00CD40B0">
              <w:fldChar w:fldCharType="separate"/>
            </w:r>
            <w:proofErr w:type="spellStart"/>
            <w:r w:rsidR="00F520C6" w:rsidRPr="00CD40B0">
              <w:t>tlang</w:t>
            </w:r>
            <w:proofErr w:type="spellEnd"/>
            <w:r w:rsidRPr="00CD40B0">
              <w:fldChar w:fldCharType="end"/>
            </w:r>
          </w:p>
          <w:p w:rsidR="00207121" w:rsidRPr="00CD40B0" w:rsidRDefault="00207121" w:rsidP="00207121">
            <w:proofErr w:type="spellStart"/>
            <w:r w:rsidRPr="00CD40B0">
              <w:t>Original</w:t>
            </w:r>
            <w:proofErr w:type="spellEnd"/>
            <w:r w:rsidRPr="00CD40B0">
              <w:t xml:space="preserve">: </w:t>
            </w:r>
            <w:r w:rsidRPr="00CD40B0">
              <w:fldChar w:fldCharType="begin"/>
            </w:r>
            <w:r w:rsidRPr="00CD40B0">
              <w:instrText xml:space="preserve"> DOCPROPERTY  olang  \* MERGEFORMAT </w:instrText>
            </w:r>
            <w:r w:rsidRPr="00CD40B0">
              <w:fldChar w:fldCharType="separate"/>
            </w:r>
            <w:proofErr w:type="spellStart"/>
            <w:r w:rsidR="00F520C6" w:rsidRPr="00CD40B0">
              <w:t>olang</w:t>
            </w:r>
            <w:proofErr w:type="spellEnd"/>
            <w:r w:rsidRPr="00CD40B0">
              <w:fldChar w:fldCharType="end"/>
            </w:r>
          </w:p>
          <w:p w:rsidR="002D5AAC" w:rsidRPr="00CD40B0" w:rsidRDefault="00207121" w:rsidP="00A90C18">
            <w:r w:rsidRPr="00CD40B0">
              <w:fldChar w:fldCharType="begin"/>
            </w:r>
            <w:r w:rsidRPr="00CD40B0">
              <w:instrText xml:space="preserve"> DOCPROPERTY  virs  \* MERGEFORMAT </w:instrText>
            </w:r>
            <w:r w:rsidRPr="00CD40B0">
              <w:fldChar w:fldCharType="separate"/>
            </w:r>
            <w:proofErr w:type="spellStart"/>
            <w:r w:rsidR="00F520C6" w:rsidRPr="00CD40B0">
              <w:t>virs</w:t>
            </w:r>
            <w:proofErr w:type="spellEnd"/>
            <w:r w:rsidRPr="00CD40B0">
              <w:fldChar w:fldCharType="end"/>
            </w:r>
          </w:p>
        </w:tc>
      </w:tr>
    </w:tbl>
    <w:p w:rsidR="004A19E3" w:rsidRPr="00CD40B0" w:rsidRDefault="00CF1866" w:rsidP="004A19E3">
      <w:pPr>
        <w:spacing w:before="120"/>
        <w:rPr>
          <w:b/>
          <w:sz w:val="24"/>
          <w:szCs w:val="24"/>
        </w:rPr>
      </w:pPr>
      <w:r w:rsidRPr="00CD40B0">
        <w:rPr>
          <w:b/>
          <w:sz w:val="24"/>
        </w:rPr>
        <w:t>Комитет по правам инвалидов</w:t>
      </w:r>
    </w:p>
    <w:p w:rsidR="00FE6DD3" w:rsidRPr="00CD40B0" w:rsidRDefault="00FE6DD3" w:rsidP="00FE6DD3">
      <w:pPr>
        <w:pStyle w:val="HChG"/>
      </w:pPr>
      <w:r w:rsidRPr="00CD40B0">
        <w:tab/>
      </w:r>
      <w:r w:rsidRPr="00CD40B0">
        <w:tab/>
        <w:t xml:space="preserve">Заключительные замечания по </w:t>
      </w:r>
      <w:r w:rsidRPr="00CD40B0">
        <w:rPr>
          <w:color w:val="FF0000"/>
        </w:rPr>
        <w:t>[первоначальному] [объединенным номера периодическим]</w:t>
      </w:r>
      <w:r w:rsidRPr="00CD40B0">
        <w:t xml:space="preserve"> </w:t>
      </w:r>
      <w:r w:rsidRPr="00CD40B0">
        <w:rPr>
          <w:color w:val="FF0000"/>
        </w:rPr>
        <w:t>[номер периодическому]</w:t>
      </w:r>
      <w:r w:rsidRPr="00CD40B0">
        <w:t xml:space="preserve"> докладу/</w:t>
      </w:r>
      <w:r w:rsidRPr="00CD40B0">
        <w:rPr>
          <w:color w:val="FF0000"/>
        </w:rPr>
        <w:t>докладам [страны]</w:t>
      </w:r>
      <w:r w:rsidRPr="00CD40B0">
        <w:rPr>
          <w:b w:val="0"/>
          <w:bCs/>
          <w:sz w:val="20"/>
        </w:rPr>
        <w:footnoteReference w:customMarkFollows="1" w:id="1"/>
        <w:t>*</w:t>
      </w:r>
    </w:p>
    <w:p w:rsidR="00FE6DD3" w:rsidRPr="00CD40B0" w:rsidRDefault="00FE6DD3" w:rsidP="00FE6DD3">
      <w:pPr>
        <w:pStyle w:val="HChG"/>
      </w:pPr>
      <w:r w:rsidRPr="00CD40B0">
        <w:tab/>
        <w:t>I.</w:t>
      </w:r>
      <w:r w:rsidRPr="00CD40B0">
        <w:tab/>
        <w:t>Введение</w:t>
      </w:r>
    </w:p>
    <w:p w:rsidR="00FE6DD3" w:rsidRPr="00CD40B0" w:rsidRDefault="00FE6DD3" w:rsidP="00FE6DD3">
      <w:pPr>
        <w:pStyle w:val="SingleTxtG"/>
      </w:pPr>
      <w:r w:rsidRPr="00CD40B0">
        <w:t>1.</w:t>
      </w:r>
      <w:r w:rsidRPr="00CD40B0">
        <w:tab/>
        <w:t xml:space="preserve">Комитет рассмотрел </w:t>
      </w:r>
      <w:r w:rsidRPr="00CD40B0">
        <w:rPr>
          <w:color w:val="FF0000"/>
        </w:rPr>
        <w:t>[первоначальный] [объединенные номера периодические] [номер периодический]</w:t>
      </w:r>
      <w:r w:rsidRPr="00CD40B0">
        <w:t xml:space="preserve"> доклад/</w:t>
      </w:r>
      <w:r w:rsidRPr="00CD40B0">
        <w:rPr>
          <w:color w:val="FF0000"/>
        </w:rPr>
        <w:t>доклады страны</w:t>
      </w:r>
      <w:r w:rsidRPr="00CD40B0">
        <w:t xml:space="preserve"> (CRPD/C/</w:t>
      </w:r>
      <w:r w:rsidRPr="00CD40B0">
        <w:rPr>
          <w:color w:val="FF0000"/>
        </w:rPr>
        <w:t>XXX</w:t>
      </w:r>
      <w:r w:rsidRPr="00CD40B0">
        <w:t>/</w:t>
      </w:r>
      <w:r w:rsidRPr="00CD40B0">
        <w:rPr>
          <w:color w:val="FF0000"/>
        </w:rPr>
        <w:t>Y</w:t>
      </w:r>
      <w:r w:rsidRPr="00CD40B0">
        <w:t xml:space="preserve">) на своих </w:t>
      </w:r>
      <w:r w:rsidRPr="00CD40B0">
        <w:rPr>
          <w:color w:val="FF0000"/>
        </w:rPr>
        <w:t xml:space="preserve">номер </w:t>
      </w:r>
      <w:r w:rsidRPr="00CD40B0">
        <w:t xml:space="preserve">и </w:t>
      </w:r>
      <w:r w:rsidRPr="00CD40B0">
        <w:rPr>
          <w:color w:val="FF0000"/>
        </w:rPr>
        <w:t xml:space="preserve">номер </w:t>
      </w:r>
      <w:r w:rsidRPr="00CD40B0">
        <w:t>заседаниях (см. CRPD/C/SR.</w:t>
      </w:r>
      <w:r w:rsidRPr="00CD40B0">
        <w:rPr>
          <w:color w:val="FF0000"/>
        </w:rPr>
        <w:t xml:space="preserve">XXX </w:t>
      </w:r>
      <w:r w:rsidRPr="00CD40B0">
        <w:t xml:space="preserve">и </w:t>
      </w:r>
      <w:r w:rsidRPr="00CD40B0">
        <w:rPr>
          <w:color w:val="FF0000"/>
        </w:rPr>
        <w:t>XXX</w:t>
      </w:r>
      <w:r w:rsidRPr="00CD40B0">
        <w:t xml:space="preserve">), состоявшихся </w:t>
      </w:r>
      <w:r w:rsidRPr="00CD40B0">
        <w:rPr>
          <w:color w:val="FF0000"/>
        </w:rPr>
        <w:t>дата</w:t>
      </w:r>
      <w:r w:rsidRPr="00CD40B0">
        <w:t xml:space="preserve"> и </w:t>
      </w:r>
      <w:r w:rsidRPr="00CD40B0">
        <w:rPr>
          <w:color w:val="FF0000"/>
        </w:rPr>
        <w:t>дата</w:t>
      </w:r>
      <w:r w:rsidRPr="00CD40B0">
        <w:t xml:space="preserve">. На своем </w:t>
      </w:r>
      <w:r w:rsidRPr="00CD40B0">
        <w:rPr>
          <w:color w:val="FF0000"/>
        </w:rPr>
        <w:t xml:space="preserve">номер </w:t>
      </w:r>
      <w:r w:rsidRPr="00CD40B0">
        <w:t xml:space="preserve">заседании, состоявшемся </w:t>
      </w:r>
      <w:r w:rsidRPr="00CD40B0">
        <w:rPr>
          <w:color w:val="FF0000"/>
        </w:rPr>
        <w:t>дата</w:t>
      </w:r>
      <w:r w:rsidRPr="00CD40B0">
        <w:t>, он принял настоящие заключительные замечания.</w:t>
      </w:r>
    </w:p>
    <w:p w:rsidR="00FE6DD3" w:rsidRPr="00CD40B0" w:rsidRDefault="00FE6DD3" w:rsidP="00FE6DD3">
      <w:pPr>
        <w:pStyle w:val="SingleTxtG"/>
        <w:rPr>
          <w:b/>
          <w:bCs/>
        </w:rPr>
      </w:pPr>
      <w:r w:rsidRPr="00CD40B0">
        <w:t>2.</w:t>
      </w:r>
      <w:r w:rsidRPr="00CD40B0">
        <w:tab/>
        <w:t xml:space="preserve">Комитет приветствует </w:t>
      </w:r>
      <w:r w:rsidRPr="00CD40B0">
        <w:rPr>
          <w:color w:val="FF0000"/>
        </w:rPr>
        <w:t>[первоначальный] [объединенные номера периодические] [номер периодический]</w:t>
      </w:r>
      <w:r w:rsidRPr="00CD40B0">
        <w:t xml:space="preserve"> доклад/</w:t>
      </w:r>
      <w:r w:rsidRPr="00CD40B0">
        <w:rPr>
          <w:color w:val="FF0000"/>
        </w:rPr>
        <w:t>доклады страны</w:t>
      </w:r>
      <w:r w:rsidRPr="00CD40B0">
        <w:t>, который/</w:t>
      </w:r>
      <w:r w:rsidRPr="00CD40B0">
        <w:rPr>
          <w:color w:val="FF0000"/>
        </w:rPr>
        <w:t xml:space="preserve">которые </w:t>
      </w:r>
      <w:r w:rsidRPr="00CD40B0">
        <w:t>был/</w:t>
      </w:r>
      <w:r w:rsidRPr="00CD40B0">
        <w:rPr>
          <w:color w:val="FF0000"/>
        </w:rPr>
        <w:t xml:space="preserve">были </w:t>
      </w:r>
      <w:r w:rsidRPr="00CD40B0">
        <w:t>подготовлен/</w:t>
      </w:r>
      <w:r w:rsidRPr="00CD40B0">
        <w:rPr>
          <w:color w:val="FF0000"/>
        </w:rPr>
        <w:t xml:space="preserve">подготовлены </w:t>
      </w:r>
      <w:r w:rsidRPr="00CD40B0">
        <w:t>в соответствии с руководящими принципами Комитета в отношении представления докладов, и выражает государству-участнику признательность за его письменные ответы (CRPD/C/</w:t>
      </w:r>
      <w:r w:rsidRPr="00CD40B0">
        <w:rPr>
          <w:color w:val="FF0000"/>
        </w:rPr>
        <w:t>XXX</w:t>
      </w:r>
      <w:r w:rsidRPr="00CD40B0">
        <w:t>/Q/</w:t>
      </w:r>
      <w:r w:rsidRPr="00CD40B0">
        <w:rPr>
          <w:color w:val="FF0000"/>
        </w:rPr>
        <w:t>Y</w:t>
      </w:r>
      <w:r w:rsidRPr="00CD40B0">
        <w:t>/ Add.1) на перечень вопросов, подготовленный Комитетом (CRPD/C/</w:t>
      </w:r>
      <w:r w:rsidRPr="00CD40B0">
        <w:rPr>
          <w:color w:val="FF0000"/>
        </w:rPr>
        <w:t>XXX</w:t>
      </w:r>
      <w:r w:rsidRPr="00CD40B0">
        <w:t>/Q/</w:t>
      </w:r>
      <w:r w:rsidRPr="00CD40B0">
        <w:rPr>
          <w:color w:val="FF0000"/>
        </w:rPr>
        <w:t>Y</w:t>
      </w:r>
      <w:r w:rsidRPr="00CD40B0">
        <w:t xml:space="preserve">). </w:t>
      </w:r>
      <w:r w:rsidRPr="00CD40B0">
        <w:rPr>
          <w:b/>
          <w:bCs/>
          <w:highlight w:val="yellow"/>
        </w:rPr>
        <w:t>[[Формулировка может варьироваться.]]</w:t>
      </w:r>
    </w:p>
    <w:p w:rsidR="00FE6DD3" w:rsidRPr="00CD40B0" w:rsidRDefault="00FE6DD3" w:rsidP="00A31238">
      <w:pPr>
        <w:pStyle w:val="HChG"/>
      </w:pPr>
      <w:r w:rsidRPr="00CD40B0">
        <w:tab/>
        <w:t>II.</w:t>
      </w:r>
      <w:r w:rsidRPr="00CD40B0">
        <w:tab/>
        <w:t>Позитивные аспекты</w:t>
      </w:r>
    </w:p>
    <w:p w:rsidR="00FE6DD3" w:rsidRPr="00CD40B0" w:rsidRDefault="00FE6DD3" w:rsidP="00A31238">
      <w:pPr>
        <w:pStyle w:val="HChG"/>
      </w:pPr>
      <w:r w:rsidRPr="00CD40B0">
        <w:tab/>
        <w:t>III.</w:t>
      </w:r>
      <w:r w:rsidRPr="00CD40B0">
        <w:tab/>
        <w:t>Основные вопросы, вызывающие озабоченность, и рекомендации</w:t>
      </w:r>
    </w:p>
    <w:p w:rsidR="00FE6DD3" w:rsidRPr="00CD40B0" w:rsidRDefault="00FE6DD3" w:rsidP="00A31238">
      <w:pPr>
        <w:pStyle w:val="H1G"/>
      </w:pPr>
      <w:r w:rsidRPr="00CD40B0">
        <w:tab/>
        <w:t>A.</w:t>
      </w:r>
      <w:r w:rsidRPr="00CD40B0">
        <w:tab/>
        <w:t>Общие принципы и обязательства (статьи 1–4)</w:t>
      </w:r>
    </w:p>
    <w:p w:rsidR="00FE6DD3" w:rsidRPr="00CD40B0" w:rsidRDefault="00FE6DD3" w:rsidP="00A31238">
      <w:pPr>
        <w:pStyle w:val="H1G"/>
      </w:pPr>
      <w:r w:rsidRPr="00CD40B0">
        <w:tab/>
        <w:t>B.</w:t>
      </w:r>
      <w:r w:rsidRPr="00CD40B0">
        <w:tab/>
        <w:t>Конкретные права (статьи 5−30)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 xml:space="preserve">Равенство и </w:t>
      </w:r>
      <w:proofErr w:type="spellStart"/>
      <w:r w:rsidRPr="00CD40B0">
        <w:t>недискриминация</w:t>
      </w:r>
      <w:proofErr w:type="spellEnd"/>
      <w:r w:rsidRPr="00CD40B0">
        <w:t xml:space="preserve"> (статья 5) </w:t>
      </w:r>
      <w:r w:rsidRPr="00CD40B0">
        <w:rPr>
          <w:highlight w:val="yellow"/>
        </w:rPr>
        <w:t>[[Не все подзаголовки включаются во все заключительные замечания.]]</w:t>
      </w:r>
    </w:p>
    <w:p w:rsidR="00FE6DD3" w:rsidRPr="00CD40B0" w:rsidRDefault="00FE6DD3" w:rsidP="00C531F6">
      <w:pPr>
        <w:pStyle w:val="H23G"/>
      </w:pPr>
      <w:r w:rsidRPr="00CD40B0">
        <w:tab/>
      </w:r>
      <w:r w:rsidRPr="00CD40B0">
        <w:tab/>
        <w:t>Женщины-инвалиды (статья 6)</w:t>
      </w:r>
    </w:p>
    <w:p w:rsidR="00FE6DD3" w:rsidRPr="00CD40B0" w:rsidRDefault="00FE6DD3" w:rsidP="00C531F6">
      <w:pPr>
        <w:pStyle w:val="H23G"/>
      </w:pPr>
      <w:r w:rsidRPr="00CD40B0">
        <w:tab/>
      </w:r>
      <w:r w:rsidRPr="00CD40B0">
        <w:tab/>
        <w:t xml:space="preserve">Дети-инвалиды (статья 7) </w:t>
      </w:r>
    </w:p>
    <w:p w:rsidR="00FE6DD3" w:rsidRPr="00CD40B0" w:rsidRDefault="00FE6DD3" w:rsidP="00C531F6">
      <w:pPr>
        <w:pStyle w:val="H23G"/>
        <w:keepNext w:val="0"/>
      </w:pPr>
      <w:r w:rsidRPr="00CD40B0">
        <w:tab/>
      </w:r>
      <w:r w:rsidRPr="00CD40B0">
        <w:tab/>
        <w:t>Просветительно-воспитательная работа (статья 8)</w:t>
      </w:r>
    </w:p>
    <w:p w:rsidR="00FE6DD3" w:rsidRPr="00CD40B0" w:rsidRDefault="00FE6DD3" w:rsidP="00C531F6">
      <w:pPr>
        <w:pStyle w:val="H23G"/>
      </w:pPr>
      <w:r w:rsidRPr="00CD40B0">
        <w:lastRenderedPageBreak/>
        <w:tab/>
      </w:r>
      <w:r w:rsidRPr="00CD40B0">
        <w:tab/>
        <w:t>Д</w:t>
      </w:r>
      <w:bookmarkStart w:id="0" w:name="_GoBack"/>
      <w:bookmarkEnd w:id="0"/>
      <w:r w:rsidRPr="00CD40B0">
        <w:t>оступность (статья 9)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Право на жизнь (статья 10)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Ситуации риска и чрезвычайные гуманитарные ситуации (статья 11)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Равенство перед законом (статья 12)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 xml:space="preserve">Доступ к правосудию (статья 13) 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Свобода и личная неприкосновенность (статья 14)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Свобода от пыток и жестокого, бесчеловечного или унижающего достоинство обращения и наказания (статья 15)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Свобода от эксплуатации, насилия и надругательства (статья 16)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Защита личной целостности (статья 17)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Свобода передвижения и гражданство (статья 18)</w:t>
      </w:r>
    </w:p>
    <w:p w:rsidR="00FE6DD3" w:rsidRPr="00CD40B0" w:rsidRDefault="00FE6DD3" w:rsidP="00A31238">
      <w:pPr>
        <w:pStyle w:val="H23G"/>
      </w:pPr>
      <w:r w:rsidRPr="00CD40B0">
        <w:tab/>
      </w:r>
      <w:r w:rsidRPr="00CD40B0">
        <w:tab/>
        <w:t>Самостоятельный образ жизни и вовлеченнос</w:t>
      </w:r>
      <w:r w:rsidR="00A31238">
        <w:t>ть в местное сообщество (статья </w:t>
      </w:r>
      <w:r w:rsidRPr="00CD40B0">
        <w:t>19)</w:t>
      </w:r>
    </w:p>
    <w:p w:rsidR="00FE6DD3" w:rsidRPr="00CD40B0" w:rsidRDefault="00FE6DD3" w:rsidP="00A31238">
      <w:pPr>
        <w:pStyle w:val="H23G"/>
      </w:pPr>
      <w:r w:rsidRPr="00CD40B0">
        <w:tab/>
      </w:r>
      <w:r w:rsidRPr="00CD40B0">
        <w:tab/>
        <w:t>Индивидуальная мобильность (статья 20)</w:t>
      </w:r>
    </w:p>
    <w:p w:rsidR="00FE6DD3" w:rsidRPr="00CD40B0" w:rsidRDefault="00FE6DD3" w:rsidP="00A31238">
      <w:pPr>
        <w:pStyle w:val="H23G"/>
      </w:pPr>
      <w:r w:rsidRPr="00CD40B0">
        <w:tab/>
      </w:r>
      <w:r w:rsidRPr="00CD40B0">
        <w:tab/>
        <w:t xml:space="preserve">Свобода выражения мнения и убеждений и доступ к информации (статья 21) 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Неприкосновенность частной жизни (статья 22)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Уважение дома и семьи (статья 23)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Образование (статья 24)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Здоровье (статья 25)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</w:r>
      <w:proofErr w:type="spellStart"/>
      <w:r w:rsidRPr="00CD40B0">
        <w:t>Абилитация</w:t>
      </w:r>
      <w:proofErr w:type="spellEnd"/>
      <w:r w:rsidRPr="00CD40B0">
        <w:t xml:space="preserve"> и реабилитация (статья 26)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 xml:space="preserve">Труд и занятость (статья 27) 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Достаточный жизненный уровень и социальная защита (статья 28)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Участие в политической и общественной жизни (статья 29)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Участие в культурной жизни, проведении досуга и отдыха и занятии спортом (статья 30)</w:t>
      </w:r>
    </w:p>
    <w:p w:rsidR="00FE6DD3" w:rsidRPr="00CD40B0" w:rsidRDefault="00FE6DD3" w:rsidP="00FE6DD3">
      <w:pPr>
        <w:pStyle w:val="H1G"/>
      </w:pPr>
      <w:r w:rsidRPr="00CD40B0">
        <w:tab/>
        <w:t>C.</w:t>
      </w:r>
      <w:r w:rsidRPr="00CD40B0">
        <w:tab/>
        <w:t>Конкретные обязательства (статьи 31–33)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Статистика и сбор данных (статья 31)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Международное сотрудничество (статья 32)</w:t>
      </w:r>
    </w:p>
    <w:p w:rsidR="00FE6DD3" w:rsidRPr="00CD40B0" w:rsidRDefault="00FE6DD3" w:rsidP="002115AA">
      <w:pPr>
        <w:pStyle w:val="H23G"/>
        <w:keepNext w:val="0"/>
      </w:pPr>
      <w:r w:rsidRPr="00CD40B0">
        <w:tab/>
      </w:r>
      <w:r w:rsidRPr="00CD40B0">
        <w:tab/>
        <w:t>Национальное осуществление и мониторинг (статья 33)</w:t>
      </w:r>
    </w:p>
    <w:p w:rsidR="00FE6DD3" w:rsidRPr="00CD40B0" w:rsidRDefault="00FE6DD3" w:rsidP="00FE6DD3">
      <w:pPr>
        <w:pStyle w:val="HChG"/>
      </w:pPr>
      <w:r w:rsidRPr="00CD40B0">
        <w:lastRenderedPageBreak/>
        <w:tab/>
        <w:t>IV.</w:t>
      </w:r>
      <w:r w:rsidRPr="00CD40B0">
        <w:tab/>
        <w:t>Последующая деятельность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Распространение информации</w:t>
      </w:r>
    </w:p>
    <w:p w:rsidR="00FE6DD3" w:rsidRPr="00CD40B0" w:rsidRDefault="00FE6DD3" w:rsidP="00FE6DD3">
      <w:pPr>
        <w:pStyle w:val="SingleTxtG"/>
        <w:rPr>
          <w:b/>
          <w:bCs/>
        </w:rPr>
      </w:pPr>
      <w:r w:rsidRPr="00CD40B0">
        <w:t>63.</w:t>
      </w:r>
      <w:r w:rsidRPr="00CD40B0">
        <w:tab/>
      </w:r>
      <w:r w:rsidRPr="00CD40B0">
        <w:rPr>
          <w:b/>
          <w:bCs/>
        </w:rPr>
        <w:t xml:space="preserve">Комитет просит государство-участник в течение 12 месяцев после принятия настоящих заключительных замечаний в соответствии с пунктом 2 статьи 35 Конвенции представить информацию о мерах, принятых для выполнения рекомендаций Комитета, содержащихся в пунктах </w:t>
      </w:r>
      <w:r w:rsidRPr="00CD40B0">
        <w:rPr>
          <w:b/>
          <w:bCs/>
          <w:color w:val="FF0000"/>
        </w:rPr>
        <w:t>ХХ</w:t>
      </w:r>
      <w:r w:rsidRPr="00CD40B0">
        <w:rPr>
          <w:b/>
          <w:bCs/>
        </w:rPr>
        <w:t xml:space="preserve"> (</w:t>
      </w:r>
      <w:r w:rsidRPr="00CD40B0">
        <w:rPr>
          <w:b/>
          <w:bCs/>
          <w:color w:val="FF0000"/>
        </w:rPr>
        <w:t>суть рекомендации</w:t>
      </w:r>
      <w:r w:rsidRPr="00CD40B0">
        <w:rPr>
          <w:b/>
          <w:bCs/>
        </w:rPr>
        <w:t xml:space="preserve">) и </w:t>
      </w:r>
      <w:r w:rsidRPr="00CD40B0">
        <w:rPr>
          <w:b/>
          <w:bCs/>
          <w:color w:val="FF0000"/>
        </w:rPr>
        <w:t>ХХ</w:t>
      </w:r>
      <w:r w:rsidRPr="00CD40B0">
        <w:rPr>
          <w:b/>
          <w:bCs/>
        </w:rPr>
        <w:t xml:space="preserve"> (</w:t>
      </w:r>
      <w:r w:rsidRPr="00CD40B0">
        <w:rPr>
          <w:b/>
          <w:bCs/>
          <w:color w:val="FF0000"/>
        </w:rPr>
        <w:t>суть рекомендации</w:t>
      </w:r>
      <w:r w:rsidRPr="00CD40B0">
        <w:rPr>
          <w:b/>
          <w:bCs/>
        </w:rPr>
        <w:t>).</w:t>
      </w:r>
    </w:p>
    <w:p w:rsidR="00FE6DD3" w:rsidRPr="00CD40B0" w:rsidRDefault="00FE6DD3" w:rsidP="00FE6DD3">
      <w:pPr>
        <w:pStyle w:val="SingleTxtG"/>
        <w:rPr>
          <w:b/>
          <w:bCs/>
        </w:rPr>
      </w:pPr>
      <w:r w:rsidRPr="00CD40B0">
        <w:t>64.</w:t>
      </w:r>
      <w:r w:rsidRPr="00CD40B0">
        <w:tab/>
      </w:r>
      <w:r w:rsidRPr="00CD40B0">
        <w:rPr>
          <w:b/>
          <w:bCs/>
        </w:rPr>
        <w:t xml:space="preserve">Комитет просит государство-участник выполнить рекомендации, содержащиеся в настоящих заключительных замечаниях. Он рекомендует государству-участнику препроводить заключительные замечания для рассмотрения и принятия решений членам правительства и парламента, должностным лицам соответствующих министерств и судебных органов и членам соответствующих профессиональных групп, таких как работники образования, медики и юристы, а также местным органам власти, представителям частного сектора и средствам массовой информации с использованием современных стратегий социальной коммуникации. </w:t>
      </w:r>
      <w:r w:rsidRPr="00CD40B0">
        <w:rPr>
          <w:b/>
          <w:bCs/>
          <w:highlight w:val="yellow"/>
        </w:rPr>
        <w:t>[[Формулировка может варьироваться.]]</w:t>
      </w:r>
    </w:p>
    <w:p w:rsidR="00FE6DD3" w:rsidRPr="00CD40B0" w:rsidRDefault="00FE6DD3" w:rsidP="00FE6DD3">
      <w:pPr>
        <w:pStyle w:val="SingleTxtG"/>
        <w:rPr>
          <w:b/>
          <w:bCs/>
        </w:rPr>
      </w:pPr>
      <w:r w:rsidRPr="00CD40B0">
        <w:t>65.</w:t>
      </w:r>
      <w:r w:rsidRPr="00CD40B0">
        <w:tab/>
      </w:r>
      <w:r w:rsidRPr="00CD40B0">
        <w:rPr>
          <w:b/>
          <w:bCs/>
        </w:rPr>
        <w:t>Комитет настоятельно рекомендует государству-участнику привлекать организации гражданского общества, в частности организации инвалидов, к подготовке его периодического доклада.</w:t>
      </w:r>
    </w:p>
    <w:p w:rsidR="00FE6DD3" w:rsidRPr="00CD40B0" w:rsidRDefault="00FE6DD3" w:rsidP="00FE6DD3">
      <w:pPr>
        <w:pStyle w:val="SingleTxtG"/>
        <w:rPr>
          <w:b/>
          <w:bCs/>
        </w:rPr>
      </w:pPr>
      <w:r w:rsidRPr="00CD40B0">
        <w:t>66.</w:t>
      </w:r>
      <w:r w:rsidRPr="00CD40B0">
        <w:tab/>
      </w:r>
      <w:r w:rsidRPr="00CD40B0">
        <w:rPr>
          <w:b/>
          <w:bCs/>
        </w:rPr>
        <w:t>Комитет просит государство-участник широко распространить настоящие заключительные замечания, в том числе среди неправительственных организаций и организаций инвалидов, а также среди самих инвалидов и членов их семей, на национальных языках и языках меньшинств, включая язык глухонемых, и в доступных форматах, а также разместить их на сайте правительства по правам человека.</w:t>
      </w:r>
    </w:p>
    <w:p w:rsidR="00FE6DD3" w:rsidRPr="00CD40B0" w:rsidRDefault="00FE6DD3" w:rsidP="00FE6DD3">
      <w:pPr>
        <w:pStyle w:val="H23G"/>
      </w:pPr>
      <w:r w:rsidRPr="00CD40B0">
        <w:tab/>
      </w:r>
      <w:r w:rsidRPr="00CD40B0">
        <w:tab/>
        <w:t>Следующий периодический доклад</w:t>
      </w:r>
    </w:p>
    <w:p w:rsidR="00FE6DD3" w:rsidRPr="00CD40B0" w:rsidRDefault="00FE6DD3" w:rsidP="00FE6DD3">
      <w:pPr>
        <w:pStyle w:val="SingleTxtG"/>
        <w:rPr>
          <w:b/>
          <w:bCs/>
        </w:rPr>
      </w:pPr>
      <w:r w:rsidRPr="00CD40B0">
        <w:t>67.</w:t>
      </w:r>
      <w:r w:rsidRPr="00CD40B0">
        <w:tab/>
      </w:r>
      <w:r w:rsidRPr="00CD40B0">
        <w:rPr>
          <w:b/>
          <w:bCs/>
        </w:rPr>
        <w:t>Комитет просит государство-участник представить свой/</w:t>
      </w:r>
      <w:r w:rsidRPr="00CD40B0">
        <w:rPr>
          <w:b/>
          <w:bCs/>
          <w:color w:val="FF0000"/>
        </w:rPr>
        <w:t>свои [первоначальный] [объединенные номера периодические] [номер периодический]</w:t>
      </w:r>
      <w:r w:rsidRPr="00CD40B0">
        <w:rPr>
          <w:b/>
          <w:bCs/>
        </w:rPr>
        <w:t xml:space="preserve"> доклад/</w:t>
      </w:r>
      <w:r w:rsidRPr="00CD40B0">
        <w:rPr>
          <w:b/>
          <w:bCs/>
          <w:color w:val="FF0000"/>
        </w:rPr>
        <w:t xml:space="preserve">доклады </w:t>
      </w:r>
      <w:r w:rsidRPr="00CD40B0">
        <w:rPr>
          <w:b/>
          <w:bCs/>
        </w:rPr>
        <w:t xml:space="preserve">не позднее </w:t>
      </w:r>
      <w:r w:rsidRPr="00CD40B0">
        <w:rPr>
          <w:b/>
          <w:bCs/>
          <w:color w:val="FF0000"/>
        </w:rPr>
        <w:t xml:space="preserve">дата </w:t>
      </w:r>
      <w:r w:rsidRPr="00CD40B0">
        <w:rPr>
          <w:b/>
          <w:bCs/>
        </w:rPr>
        <w:t>и включить в него/</w:t>
      </w:r>
      <w:r w:rsidRPr="00CD40B0">
        <w:rPr>
          <w:b/>
          <w:bCs/>
          <w:color w:val="FF0000"/>
        </w:rPr>
        <w:t>них</w:t>
      </w:r>
      <w:r w:rsidRPr="00CD40B0">
        <w:rPr>
          <w:b/>
          <w:bCs/>
        </w:rPr>
        <w:t xml:space="preserve"> информацию о выполнении рекомендаций, содержащихся в настоящих заключительных замечаниях. Комитет просит также государство-участник рассмотреть возможность представления вышеупомянутого/</w:t>
      </w:r>
      <w:r w:rsidRPr="00CD40B0">
        <w:rPr>
          <w:b/>
          <w:bCs/>
          <w:color w:val="FF0000"/>
        </w:rPr>
        <w:t>вышеупомянутых</w:t>
      </w:r>
      <w:r w:rsidRPr="00CD40B0">
        <w:rPr>
          <w:b/>
          <w:bCs/>
        </w:rPr>
        <w:t xml:space="preserve"> доклада/ </w:t>
      </w:r>
      <w:r w:rsidRPr="00CD40B0">
        <w:rPr>
          <w:b/>
          <w:bCs/>
          <w:color w:val="FF0000"/>
        </w:rPr>
        <w:t xml:space="preserve">докладов </w:t>
      </w:r>
      <w:r w:rsidRPr="00CD40B0">
        <w:rPr>
          <w:b/>
          <w:bCs/>
        </w:rPr>
        <w:t>по разработанной Комитетом упрощенной процедуре представления докладов, согласно которой Комитет готовит перечень вопросов по меньшее мере за один год до назначенной даты представления доклада государства-участника. Ответы государства-участника на такой перечень вопросов являются его докладом.</w:t>
      </w:r>
    </w:p>
    <w:p w:rsidR="00CF1866" w:rsidRPr="00CD40B0" w:rsidRDefault="00FE6DD3" w:rsidP="002115AA">
      <w:pPr>
        <w:pStyle w:val="SingleTxtG"/>
        <w:spacing w:before="240" w:after="0"/>
        <w:jc w:val="center"/>
      </w:pPr>
      <w:r w:rsidRPr="00CD40B0">
        <w:rPr>
          <w:u w:val="single"/>
        </w:rPr>
        <w:tab/>
      </w:r>
      <w:r w:rsidRPr="00CD40B0">
        <w:rPr>
          <w:u w:val="single"/>
        </w:rPr>
        <w:tab/>
      </w:r>
      <w:r w:rsidRPr="00CD40B0">
        <w:rPr>
          <w:u w:val="single"/>
        </w:rPr>
        <w:tab/>
      </w:r>
      <w:r w:rsidR="002115AA">
        <w:rPr>
          <w:u w:val="single"/>
        </w:rPr>
        <w:tab/>
      </w:r>
    </w:p>
    <w:sectPr w:rsidR="00CF1866" w:rsidRPr="00CD40B0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C531F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C531F6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FE6DD3" w:rsidRPr="00C02BEB" w:rsidRDefault="00FE6DD3" w:rsidP="00FE6DD3">
      <w:pPr>
        <w:pStyle w:val="Notedebasdepage"/>
        <w:rPr>
          <w:lang w:val="ru-RU"/>
        </w:rPr>
      </w:pPr>
      <w:r>
        <w:rPr>
          <w:lang w:val="ru-RU"/>
        </w:rPr>
        <w:tab/>
      </w:r>
      <w:r w:rsidRPr="001C4D00">
        <w:rPr>
          <w:sz w:val="20"/>
          <w:lang w:val="ru-RU"/>
        </w:rPr>
        <w:t>*</w:t>
      </w:r>
      <w:r>
        <w:rPr>
          <w:lang w:val="ru-RU"/>
        </w:rPr>
        <w:tab/>
        <w:t xml:space="preserve">Приняты Комитетом на его </w:t>
      </w:r>
      <w:r w:rsidR="00C531F6" w:rsidRPr="00C531F6">
        <w:rPr>
          <w:color w:val="FF0000"/>
          <w:lang w:val="fr-CH"/>
        </w:rPr>
        <w:t>[</w:t>
      </w:r>
      <w:r w:rsidRPr="00CA5490">
        <w:rPr>
          <w:color w:val="FF0000"/>
          <w:lang w:val="ru-RU"/>
        </w:rPr>
        <w:t>номер</w:t>
      </w:r>
      <w:r w:rsidR="00C531F6">
        <w:rPr>
          <w:color w:val="FF0000"/>
          <w:lang w:val="fr-CH"/>
        </w:rPr>
        <w:t>]</w:t>
      </w:r>
      <w:r>
        <w:rPr>
          <w:lang w:val="ru-RU"/>
        </w:rPr>
        <w:t xml:space="preserve"> сессии (</w:t>
      </w:r>
      <w:r w:rsidRPr="00CA5490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115AA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309B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3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531F6"/>
    <w:rsid w:val="00C60F0C"/>
    <w:rsid w:val="00C805C9"/>
    <w:rsid w:val="00C84828"/>
    <w:rsid w:val="00C92939"/>
    <w:rsid w:val="00CA1679"/>
    <w:rsid w:val="00CB151C"/>
    <w:rsid w:val="00CC3B62"/>
    <w:rsid w:val="00CD230B"/>
    <w:rsid w:val="00CD40B0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A5FC5"/>
    <w:rsid w:val="00FC1EE0"/>
    <w:rsid w:val="00FD2EF7"/>
    <w:rsid w:val="00FE447E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73A78A9D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5FC5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A5FC5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A5FC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FA5FC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A5FC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FA5FC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A5FC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A5FC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FA5FC5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A5FC5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A5FC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A5FC5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A5FC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A5FC5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A5FC5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A5FC5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A5FC5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A5FC5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A5FC5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A5FC5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A5FC5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A5FC5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A5FC5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FA5FC5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A5FC5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A5FC5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FA5FC5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FA5FC5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A5FC5"/>
  </w:style>
  <w:style w:type="character" w:customStyle="1" w:styleId="NotedefinCar">
    <w:name w:val="Note de fin Car"/>
    <w:aliases w:val="2_G Car"/>
    <w:basedOn w:val="Policepardfaut"/>
    <w:link w:val="Notedefin"/>
    <w:rsid w:val="00FA5FC5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A5FC5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FA5FC5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A5FC5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5BCB7-3C1F-4884-89F8-E59CAA7A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581</Words>
  <Characters>4691</Characters>
  <Application>Microsoft Office Word</Application>
  <DocSecurity>0</DocSecurity>
  <Lines>39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2018-05-22T10:38:00Z</dcterms:created>
  <dcterms:modified xsi:type="dcterms:W3CDTF">2018-06-20T09:57:00Z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