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BC6710">
        <w:trPr>
          <w:cantSplit/>
          <w:trHeight w:hRule="exact" w:val="851"/>
        </w:trPr>
        <w:tc>
          <w:tcPr>
            <w:tcW w:w="1276" w:type="dxa"/>
            <w:tcBorders>
              <w:bottom w:val="single" w:sz="4" w:space="0" w:color="auto"/>
            </w:tcBorders>
            <w:vAlign w:val="bottom"/>
          </w:tcPr>
          <w:p w:rsidR="00BC6710" w:rsidRDefault="00BC6710">
            <w:pPr>
              <w:spacing w:after="80"/>
            </w:pPr>
            <w:bookmarkStart w:id="0" w:name="_GoBack"/>
            <w:bookmarkEnd w:id="0"/>
          </w:p>
        </w:tc>
        <w:tc>
          <w:tcPr>
            <w:tcW w:w="2268" w:type="dxa"/>
            <w:tcBorders>
              <w:bottom w:val="single" w:sz="4" w:space="0" w:color="auto"/>
            </w:tcBorders>
            <w:vAlign w:val="bottom"/>
          </w:tcPr>
          <w:p w:rsidR="00BC6710" w:rsidRDefault="00401311">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BC6710" w:rsidRDefault="00401311">
            <w:pPr>
              <w:suppressAutoHyphens w:val="0"/>
              <w:spacing w:after="20"/>
              <w:jc w:val="right"/>
            </w:pPr>
            <w:r>
              <w:rPr>
                <w:sz w:val="40"/>
              </w:rPr>
              <w:t>A</w:t>
            </w:r>
            <w:r>
              <w:t>/</w:t>
            </w:r>
            <w:fldSimple w:instr=" DOCPROPERTY  sym1  \* MERGEFORMAT ">
              <w:r>
                <w:t>sym1</w:t>
              </w:r>
            </w:fldSimple>
          </w:p>
        </w:tc>
      </w:tr>
      <w:tr w:rsidR="00BC6710">
        <w:trPr>
          <w:cantSplit/>
          <w:trHeight w:hRule="exact" w:val="2835"/>
        </w:trPr>
        <w:tc>
          <w:tcPr>
            <w:tcW w:w="1276" w:type="dxa"/>
            <w:tcBorders>
              <w:top w:val="single" w:sz="4" w:space="0" w:color="auto"/>
              <w:bottom w:val="single" w:sz="12" w:space="0" w:color="auto"/>
            </w:tcBorders>
          </w:tcPr>
          <w:p w:rsidR="00BC6710" w:rsidRDefault="00401311">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BC6710" w:rsidRDefault="00401311">
            <w:pPr>
              <w:spacing w:before="120" w:line="380" w:lineRule="exact"/>
            </w:pPr>
            <w:r>
              <w:rPr>
                <w:b/>
                <w:sz w:val="40"/>
                <w:szCs w:val="40"/>
              </w:rPr>
              <w:t>General Assembly</w:t>
            </w:r>
          </w:p>
        </w:tc>
        <w:tc>
          <w:tcPr>
            <w:tcW w:w="2835" w:type="dxa"/>
            <w:tcBorders>
              <w:top w:val="single" w:sz="4" w:space="0" w:color="auto"/>
              <w:bottom w:val="single" w:sz="12" w:space="0" w:color="auto"/>
            </w:tcBorders>
          </w:tcPr>
          <w:p w:rsidR="00BC6710" w:rsidRDefault="00401311">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rsidR="00BC6710" w:rsidRDefault="00401311">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BC6710" w:rsidRDefault="00401311">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BC6710" w:rsidRDefault="00401311">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BC6710" w:rsidRDefault="00401311">
            <w:pPr>
              <w:suppressAutoHyphens w:val="0"/>
            </w:pPr>
            <w:fldSimple w:instr=" DOCPROPERTY  virs  \* MERGEFORMAT ">
              <w:r>
                <w:t>virs</w:t>
              </w:r>
            </w:fldSimple>
          </w:p>
        </w:tc>
      </w:tr>
    </w:tbl>
    <w:p w:rsidR="00BC6710" w:rsidRDefault="00401311">
      <w:pPr>
        <w:spacing w:before="120"/>
        <w:rPr>
          <w:b/>
          <w:sz w:val="24"/>
          <w:szCs w:val="24"/>
        </w:rPr>
      </w:pPr>
      <w:r>
        <w:rPr>
          <w:b/>
          <w:sz w:val="24"/>
          <w:szCs w:val="24"/>
        </w:rPr>
        <w:t>Human Rights Council</w:t>
      </w:r>
    </w:p>
    <w:p w:rsidR="00BC6710" w:rsidRDefault="00401311">
      <w:pPr>
        <w:rPr>
          <w:b/>
          <w:bCs/>
        </w:rPr>
      </w:pPr>
      <w:r>
        <w:rPr>
          <w:b/>
          <w:bCs/>
        </w:rPr>
        <w:t>Working Group on the Universal Periodic Review</w:t>
      </w:r>
    </w:p>
    <w:p w:rsidR="00BC6710" w:rsidRDefault="00401311">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BC6710" w:rsidRDefault="00401311">
      <w:fldSimple w:instr=" DOCPROPERTY  sdate  \* MERGEFORMAT ">
        <w:r>
          <w:t>sdate</w:t>
        </w:r>
      </w:fldSimple>
    </w:p>
    <w:p w:rsidR="00BC6710" w:rsidRDefault="00401311">
      <w:pPr>
        <w:pStyle w:val="HChG"/>
      </w:pPr>
      <w:r>
        <w:tab/>
      </w:r>
      <w:r>
        <w:tab/>
        <w:t xml:space="preserve">Compilation on </w:t>
      </w:r>
      <w:fldSimple w:instr=" DOCPROPERTY  countw  \* MERGEFORMAT ">
        <w:r>
          <w:t>countw</w:t>
        </w:r>
      </w:fldSimple>
    </w:p>
    <w:p w:rsidR="00BC6710" w:rsidRDefault="00401311">
      <w:pPr>
        <w:pStyle w:val="HChG"/>
        <w:rPr>
          <w:sz w:val="24"/>
          <w:szCs w:val="24"/>
        </w:rPr>
      </w:pPr>
      <w:r>
        <w:tab/>
      </w:r>
      <w:r>
        <w:tab/>
      </w:r>
      <w:bookmarkStart w:id="1" w:name="Country"/>
      <w:r>
        <w:rPr>
          <w:sz w:val="24"/>
          <w:szCs w:val="24"/>
        </w:rPr>
        <w:t>Report of the Office of the United Nations High Commissioner for Human Rights</w:t>
      </w:r>
      <w:bookmarkEnd w:id="1"/>
    </w:p>
    <w:p w:rsidR="00BC6710" w:rsidRDefault="00401311">
      <w:pPr>
        <w:pStyle w:val="HChG"/>
      </w:pPr>
      <w:r>
        <w:tab/>
        <w:t>I.</w:t>
      </w:r>
      <w:r>
        <w:tab/>
        <w:t>Background</w:t>
      </w:r>
    </w:p>
    <w:p w:rsidR="00BC6710" w:rsidRDefault="00401311">
      <w:pPr>
        <w:pStyle w:val="SingleTxtG"/>
      </w:pPr>
      <w:r>
        <w:t>1.</w:t>
      </w:r>
      <w:r>
        <w:tab/>
        <w:t>The present report was prepared pursuant to Human Rights Council resolutions 5/1 and 16/21, taking into consideration the periodicity of the universal periodic review. It is a compilation of the information contained in the reports of treaty bodies and special procedures and other relevant United Nations documents, presented in a summarized manner owing to word-limit constraints.</w:t>
      </w:r>
    </w:p>
    <w:p w:rsidR="00BC6710" w:rsidRDefault="00401311" w:rsidP="00FD4322">
      <w:pPr>
        <w:pStyle w:val="HChG"/>
      </w:pPr>
      <w:r>
        <w:tab/>
        <w:t>I</w:t>
      </w:r>
      <w:bookmarkStart w:id="2" w:name="I_Background_and_framework"/>
      <w:r>
        <w:t>I.</w:t>
      </w:r>
      <w:r>
        <w:tab/>
      </w:r>
      <w:bookmarkEnd w:id="2"/>
      <w:r>
        <w:t>Scope of international obligations and cooperation with international human rights mechanisms and bodies</w:t>
      </w:r>
      <w:r>
        <w:rPr>
          <w:rStyle w:val="Refdenotaalfinal"/>
          <w:b w:val="0"/>
          <w:bCs/>
        </w:rPr>
        <w:endnoteReference w:id="2"/>
      </w:r>
      <w:r w:rsidRPr="00FD4322">
        <w:rPr>
          <w:b w:val="0"/>
          <w:sz w:val="18"/>
          <w:szCs w:val="18"/>
          <w:vertAlign w:val="superscript"/>
        </w:rPr>
        <w:t xml:space="preserve">, </w:t>
      </w:r>
      <w:r>
        <w:rPr>
          <w:rStyle w:val="Refdenotaalfinal"/>
          <w:b w:val="0"/>
          <w:bCs/>
        </w:rPr>
        <w:endnoteReference w:id="3"/>
      </w:r>
    </w:p>
    <w:p w:rsidR="00BC6710" w:rsidRDefault="00401311" w:rsidP="00FD4322">
      <w:pPr>
        <w:pStyle w:val="HChG"/>
      </w:pPr>
      <w:r>
        <w:tab/>
      </w:r>
      <w:bookmarkStart w:id="3" w:name="I_B_Constitutional_and_legislative_frmwk"/>
      <w:r>
        <w:t>III.</w:t>
      </w:r>
      <w:r>
        <w:tab/>
        <w:t>National human rights framework</w:t>
      </w:r>
      <w:bookmarkEnd w:id="3"/>
    </w:p>
    <w:p w:rsidR="00BC6710" w:rsidRDefault="00401311" w:rsidP="00FD4322">
      <w:pPr>
        <w:pStyle w:val="HChG"/>
      </w:pPr>
      <w:r>
        <w:tab/>
      </w:r>
      <w:bookmarkStart w:id="4" w:name="III_Implementation_taking_into_account"/>
      <w:r>
        <w:t>IV.</w:t>
      </w:r>
      <w:r>
        <w:tab/>
        <w:t>Implementation of international human rights obligations, taking into account applicable international humanitarian law</w:t>
      </w:r>
      <w:bookmarkEnd w:id="4"/>
      <w:r>
        <w:t xml:space="preserve"> </w:t>
      </w:r>
      <w:r>
        <w:rPr>
          <w:highlight w:val="yellow"/>
        </w:rPr>
        <w:t>[[Not all headings and subheadings are used in every document.]]</w:t>
      </w:r>
    </w:p>
    <w:p w:rsidR="00BC6710" w:rsidRDefault="00401311" w:rsidP="00FD4322">
      <w:pPr>
        <w:pStyle w:val="H1G"/>
      </w:pPr>
      <w:r>
        <w:tab/>
      </w:r>
      <w:bookmarkStart w:id="5" w:name="III_A_equality_and_non_discrimination"/>
      <w:r>
        <w:t>A.</w:t>
      </w:r>
      <w:r>
        <w:tab/>
        <w:t xml:space="preserve">Cross-cutting issues </w:t>
      </w:r>
    </w:p>
    <w:p w:rsidR="00BC6710" w:rsidRDefault="00401311" w:rsidP="00FD4322">
      <w:pPr>
        <w:pStyle w:val="H23G"/>
      </w:pPr>
      <w:r>
        <w:tab/>
        <w:t>1.</w:t>
      </w:r>
      <w:r>
        <w:tab/>
        <w:t>Equality and non-discrimination</w:t>
      </w:r>
      <w:bookmarkEnd w:id="5"/>
    </w:p>
    <w:p w:rsidR="00BC6710" w:rsidRDefault="00401311" w:rsidP="00FD4322">
      <w:pPr>
        <w:pStyle w:val="H23G"/>
      </w:pPr>
      <w:r>
        <w:tab/>
      </w:r>
      <w:bookmarkStart w:id="6" w:name="III_B_Right_to_life_liberty_security"/>
      <w:r>
        <w:t>2.</w:t>
      </w:r>
      <w:r>
        <w:tab/>
        <w:t>Development, the environment, and business and human rights</w:t>
      </w:r>
    </w:p>
    <w:p w:rsidR="00BC6710" w:rsidRDefault="00401311" w:rsidP="00FD4322">
      <w:pPr>
        <w:pStyle w:val="H23G"/>
      </w:pPr>
      <w:r>
        <w:tab/>
        <w:t>3.</w:t>
      </w:r>
      <w:r>
        <w:tab/>
        <w:t>Human rights and counter-terrorism</w:t>
      </w:r>
    </w:p>
    <w:p w:rsidR="00BC6710" w:rsidRDefault="00401311" w:rsidP="00FD4322">
      <w:pPr>
        <w:pStyle w:val="H1G"/>
      </w:pPr>
      <w:r>
        <w:tab/>
        <w:t>B.</w:t>
      </w:r>
      <w:r>
        <w:tab/>
        <w:t>Civil and political rights</w:t>
      </w:r>
    </w:p>
    <w:p w:rsidR="00BC6710" w:rsidRDefault="00401311" w:rsidP="00FD4322">
      <w:pPr>
        <w:pStyle w:val="H23G"/>
        <w:keepNext w:val="0"/>
      </w:pPr>
      <w:r>
        <w:tab/>
        <w:t>1.</w:t>
      </w:r>
      <w:r>
        <w:tab/>
        <w:t>Right to life, liberty and security of person</w:t>
      </w:r>
    </w:p>
    <w:p w:rsidR="00BC6710" w:rsidRDefault="00401311" w:rsidP="00FD4322">
      <w:pPr>
        <w:pStyle w:val="H23G"/>
      </w:pPr>
      <w:bookmarkStart w:id="7" w:name="III_C_Administration_of_justice"/>
      <w:bookmarkEnd w:id="6"/>
      <w:r>
        <w:lastRenderedPageBreak/>
        <w:tab/>
        <w:t>2.</w:t>
      </w:r>
      <w:r>
        <w:tab/>
        <w:t>Administration of justice, including impunity</w:t>
      </w:r>
      <w:bookmarkEnd w:id="7"/>
      <w:r>
        <w:t>, and the rule of law</w:t>
      </w:r>
    </w:p>
    <w:p w:rsidR="00BC6710" w:rsidRDefault="00401311" w:rsidP="00FD4322">
      <w:pPr>
        <w:pStyle w:val="H23G"/>
      </w:pPr>
      <w:bookmarkStart w:id="8" w:name="III_D_Privacy_marriage_famiy_life"/>
      <w:r>
        <w:tab/>
        <w:t>3.</w:t>
      </w:r>
      <w:r>
        <w:tab/>
        <w:t>Fundamental freedoms and the right to participate in public and political life</w:t>
      </w:r>
    </w:p>
    <w:p w:rsidR="00BC6710" w:rsidRDefault="00401311" w:rsidP="00FD4322">
      <w:pPr>
        <w:pStyle w:val="H23G"/>
      </w:pPr>
      <w:r>
        <w:tab/>
        <w:t>4.</w:t>
      </w:r>
      <w:r>
        <w:tab/>
        <w:t>Prohibition of all forms of slavery</w:t>
      </w:r>
    </w:p>
    <w:p w:rsidR="00BC6710" w:rsidRDefault="00401311" w:rsidP="00FD4322">
      <w:pPr>
        <w:pStyle w:val="H23G"/>
      </w:pPr>
      <w:r>
        <w:tab/>
        <w:t>5.</w:t>
      </w:r>
      <w:r>
        <w:tab/>
        <w:t>Right to privacy and family life</w:t>
      </w:r>
      <w:bookmarkEnd w:id="8"/>
    </w:p>
    <w:p w:rsidR="00BC6710" w:rsidRDefault="00401311" w:rsidP="00FD4322">
      <w:pPr>
        <w:pStyle w:val="H23G"/>
      </w:pPr>
      <w:r>
        <w:tab/>
      </w:r>
      <w:bookmarkStart w:id="9" w:name="III_G_Work_just_conditions"/>
      <w:r>
        <w:t>C.</w:t>
      </w:r>
      <w:r>
        <w:tab/>
        <w:t xml:space="preserve">Economic, social and cultural rights </w:t>
      </w:r>
    </w:p>
    <w:p w:rsidR="00BC6710" w:rsidRDefault="00401311" w:rsidP="00FD4322">
      <w:pPr>
        <w:pStyle w:val="H23G"/>
      </w:pPr>
      <w:r>
        <w:tab/>
        <w:t>1.</w:t>
      </w:r>
      <w:r>
        <w:tab/>
        <w:t>Right to work and to just and favourable conditions of work</w:t>
      </w:r>
      <w:bookmarkEnd w:id="9"/>
    </w:p>
    <w:p w:rsidR="00BC6710" w:rsidRDefault="00401311" w:rsidP="00FD4322">
      <w:pPr>
        <w:pStyle w:val="H23G"/>
      </w:pPr>
      <w:r>
        <w:tab/>
      </w:r>
      <w:bookmarkStart w:id="10" w:name="III_H_Social_security_adequate_living"/>
      <w:r>
        <w:t>2.</w:t>
      </w:r>
      <w:r>
        <w:tab/>
        <w:t>Right to social security</w:t>
      </w:r>
      <w:bookmarkEnd w:id="10"/>
    </w:p>
    <w:p w:rsidR="00BC6710" w:rsidRDefault="00401311" w:rsidP="00FD4322">
      <w:pPr>
        <w:pStyle w:val="H23G"/>
      </w:pPr>
      <w:r>
        <w:tab/>
      </w:r>
      <w:bookmarkStart w:id="11" w:name="III_I_Health"/>
      <w:r>
        <w:t>3.</w:t>
      </w:r>
      <w:r>
        <w:tab/>
        <w:t>Right to an adequate standard of living</w:t>
      </w:r>
    </w:p>
    <w:p w:rsidR="00BC6710" w:rsidRDefault="00401311" w:rsidP="00FD4322">
      <w:pPr>
        <w:pStyle w:val="H23G"/>
      </w:pPr>
      <w:r>
        <w:tab/>
        <w:t>4.</w:t>
      </w:r>
      <w:r>
        <w:tab/>
        <w:t>Right to health</w:t>
      </w:r>
      <w:bookmarkEnd w:id="11"/>
    </w:p>
    <w:p w:rsidR="00BC6710" w:rsidRDefault="00401311" w:rsidP="00FD4322">
      <w:pPr>
        <w:pStyle w:val="H23G"/>
      </w:pPr>
      <w:bookmarkStart w:id="12" w:name="III_J_Education"/>
      <w:r>
        <w:tab/>
        <w:t>5.</w:t>
      </w:r>
      <w:r>
        <w:tab/>
        <w:t>Right to education</w:t>
      </w:r>
      <w:bookmarkEnd w:id="12"/>
    </w:p>
    <w:p w:rsidR="00BC6710" w:rsidRDefault="00401311" w:rsidP="00FD4322">
      <w:pPr>
        <w:pStyle w:val="H1G"/>
      </w:pPr>
      <w:r>
        <w:tab/>
      </w:r>
      <w:bookmarkStart w:id="13" w:name="III_K_Cultural_rights"/>
      <w:r>
        <w:t>D.</w:t>
      </w:r>
      <w:r>
        <w:tab/>
      </w:r>
      <w:bookmarkEnd w:id="13"/>
      <w:r>
        <w:t>Rights of specific persons or groups</w:t>
      </w:r>
    </w:p>
    <w:p w:rsidR="00BC6710" w:rsidRDefault="00401311" w:rsidP="00FD4322">
      <w:pPr>
        <w:pStyle w:val="H23G"/>
      </w:pPr>
      <w:r>
        <w:tab/>
        <w:t>1.</w:t>
      </w:r>
      <w:r>
        <w:tab/>
        <w:t>Women</w:t>
      </w:r>
    </w:p>
    <w:p w:rsidR="00BC6710" w:rsidRDefault="00401311" w:rsidP="00FD4322">
      <w:pPr>
        <w:pStyle w:val="H23G"/>
      </w:pPr>
      <w:r>
        <w:tab/>
        <w:t>2.</w:t>
      </w:r>
      <w:r>
        <w:tab/>
        <w:t>Children</w:t>
      </w:r>
      <w:bookmarkStart w:id="14" w:name="III_L_Persons_with_disabilities"/>
    </w:p>
    <w:p w:rsidR="00BC6710" w:rsidRDefault="00401311" w:rsidP="00FD4322">
      <w:pPr>
        <w:pStyle w:val="H23G"/>
      </w:pPr>
      <w:r>
        <w:tab/>
        <w:t>3.</w:t>
      </w:r>
      <w:r>
        <w:tab/>
        <w:t>Persons with disabilities</w:t>
      </w:r>
      <w:bookmarkEnd w:id="14"/>
    </w:p>
    <w:p w:rsidR="00BC6710" w:rsidRDefault="00401311" w:rsidP="00FD4322">
      <w:pPr>
        <w:pStyle w:val="H23G"/>
      </w:pPr>
      <w:r>
        <w:tab/>
      </w:r>
      <w:bookmarkStart w:id="15" w:name="III_M_Minorities_indigenous_peoples"/>
      <w:r>
        <w:t>4.</w:t>
      </w:r>
      <w:r>
        <w:tab/>
        <w:t>Minorities and indigenous peoples</w:t>
      </w:r>
      <w:bookmarkEnd w:id="15"/>
    </w:p>
    <w:p w:rsidR="00BC6710" w:rsidRDefault="00401311" w:rsidP="00FD4322">
      <w:pPr>
        <w:pStyle w:val="H23G"/>
      </w:pPr>
      <w:r>
        <w:tab/>
      </w:r>
      <w:bookmarkStart w:id="16" w:name="III_N_Migrants_refugees_asylum"/>
      <w:r>
        <w:t>5.</w:t>
      </w:r>
      <w:r>
        <w:tab/>
        <w:t>Migrants, refugees, asylum seekers</w:t>
      </w:r>
      <w:bookmarkEnd w:id="16"/>
      <w:r>
        <w:t xml:space="preserve"> and internally displaced persons</w:t>
      </w:r>
    </w:p>
    <w:p w:rsidR="00BC6710" w:rsidRDefault="00401311" w:rsidP="00FD4322">
      <w:pPr>
        <w:pStyle w:val="H23G"/>
      </w:pPr>
      <w:r>
        <w:tab/>
        <w:t>6.</w:t>
      </w:r>
      <w:r>
        <w:tab/>
        <w:t>Stateless persons</w:t>
      </w:r>
    </w:p>
    <w:p w:rsidR="00BC6710" w:rsidRDefault="00401311" w:rsidP="00401311">
      <w:pPr>
        <w:pStyle w:val="H1G"/>
      </w:pPr>
      <w:r>
        <w:tab/>
      </w:r>
      <w:bookmarkStart w:id="17" w:name="III_R_Specific_territories"/>
      <w:r>
        <w:t>E.</w:t>
      </w:r>
      <w:r>
        <w:tab/>
        <w:t>Specific regions or territories</w:t>
      </w:r>
      <w:bookmarkEnd w:id="17"/>
    </w:p>
    <w:p w:rsidR="00BC6710" w:rsidRDefault="00401311">
      <w:pPr>
        <w:pStyle w:val="H4G"/>
        <w:keepNext w:val="0"/>
        <w:keepLines w:val="0"/>
      </w:pPr>
      <w:r>
        <w:tab/>
        <w:t>Notes</w:t>
      </w:r>
    </w:p>
    <w:sectPr w:rsidR="00BC6710">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710" w:rsidRDefault="00BC6710"/>
  </w:endnote>
  <w:endnote w:type="continuationSeparator" w:id="0">
    <w:p w:rsidR="00BC6710" w:rsidRDefault="00BC6710">
      <w:pPr>
        <w:pStyle w:val="Piedepgina"/>
      </w:pPr>
    </w:p>
  </w:endnote>
  <w:endnote w:type="continuationNotice" w:id="1">
    <w:p w:rsidR="00BC6710" w:rsidRDefault="00BC6710"/>
  </w:endnote>
  <w:endnote w:id="2">
    <w:p w:rsidR="00BC6710" w:rsidRDefault="00401311">
      <w:pPr>
        <w:pStyle w:val="Textonotaalfinal"/>
        <w:widowControl w:val="0"/>
        <w:tabs>
          <w:tab w:val="clear" w:pos="1021"/>
          <w:tab w:val="right" w:pos="1020"/>
        </w:tabs>
      </w:pPr>
      <w:r>
        <w:tab/>
      </w:r>
      <w:r>
        <w:rPr>
          <w:rStyle w:val="Refdenotaalfinal"/>
        </w:rPr>
        <w:endnoteRef/>
      </w:r>
      <w:r>
        <w:tab/>
        <w:t xml:space="preserve">Tables containing information on the scope of international obligations and cooperation with international human rights mechanisms and bodies for </w:t>
      </w:r>
      <w:r>
        <w:rPr>
          <w:color w:val="FF0000"/>
        </w:rPr>
        <w:t xml:space="preserve">country </w:t>
      </w:r>
      <w:r>
        <w:t xml:space="preserve">will be available at </w:t>
      </w:r>
      <w:r>
        <w:rPr>
          <w:color w:val="FF0000"/>
        </w:rPr>
        <w:t>hyperlink</w:t>
      </w:r>
      <w:r>
        <w:t>.</w:t>
      </w:r>
    </w:p>
  </w:endnote>
  <w:endnote w:id="3">
    <w:p w:rsidR="00BC6710" w:rsidRDefault="00401311">
      <w:pPr>
        <w:pStyle w:val="Textonotaalfinal"/>
      </w:pPr>
      <w:r>
        <w:tab/>
      </w:r>
      <w:r>
        <w:rPr>
          <w:rStyle w:val="Refdenotaalfinal"/>
        </w:rPr>
        <w:endnoteRef/>
      </w:r>
      <w:r>
        <w:tab/>
        <w:t xml:space="preserve">For relevant recommendations, see </w:t>
      </w:r>
      <w:r>
        <w:rPr>
          <w:color w:val="FF0000"/>
        </w:rPr>
        <w:t>A/HRC/XX/YY</w:t>
      </w:r>
      <w:r>
        <w:t xml:space="preserve">, paras. </w:t>
      </w:r>
      <w:r>
        <w:rPr>
          <w:color w:val="FF0000"/>
        </w:rPr>
        <w:t>XX</w:t>
      </w:r>
      <w:r>
        <w:t>.</w:t>
      </w:r>
    </w:p>
    <w:p w:rsidR="00BC6710" w:rsidRDefault="00401311">
      <w:pPr>
        <w:pStyle w:val="Textonotaalfinal"/>
        <w:spacing w:before="240" w:line="240" w:lineRule="atLeast"/>
        <w:ind w:firstLine="0"/>
        <w:jc w:val="center"/>
        <w:rPr>
          <w:u w:val="single"/>
          <w:lang w:val="en-US"/>
        </w:rPr>
      </w:pPr>
      <w:r>
        <w:rPr>
          <w:u w:val="single"/>
          <w:lang w:val="en-US"/>
        </w:rPr>
        <w:tab/>
      </w:r>
      <w:r>
        <w:rPr>
          <w:u w:val="single"/>
          <w:lang w:val="en-US"/>
        </w:rPr>
        <w:tab/>
      </w:r>
      <w:r>
        <w:rPr>
          <w:u w:val="single"/>
          <w:lang w:val="en-US"/>
        </w:rPr>
        <w:tab/>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710" w:rsidRDefault="00401311">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283484">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710" w:rsidRDefault="00401311">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sidR="00FD4322">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710" w:rsidRDefault="00401311">
    <w:pPr>
      <w:pStyle w:val="Piedepgina"/>
      <w:spacing w:before="120"/>
      <w:rPr>
        <w:noProof/>
        <w:sz w:val="20"/>
        <w:lang w:eastAsia="fr-FR"/>
      </w:rPr>
    </w:pPr>
    <w:r>
      <w:rPr>
        <w:noProof/>
        <w:sz w:val="20"/>
        <w:lang w:val="fr-CH" w:eastAsia="fr-CH"/>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BC6710">
      <w:tc>
        <w:tcPr>
          <w:tcW w:w="1848" w:type="dxa"/>
          <w:vAlign w:val="bottom"/>
        </w:tcPr>
        <w:p w:rsidR="00BC6710" w:rsidRDefault="00401311">
          <w:pPr>
            <w:pStyle w:val="Piedepgina"/>
            <w:spacing w:before="120" w:after="120"/>
            <w:jc w:val="right"/>
          </w:pPr>
          <w:r>
            <w:rPr>
              <w:noProof/>
              <w:sz w:val="20"/>
              <w:lang w:val="fr-CH" w:eastAsia="fr-CH"/>
            </w:rPr>
            <w:drawing>
              <wp:inline distT="0" distB="0" distL="0" distR="0">
                <wp:extent cx="931545" cy="232410"/>
                <wp:effectExtent l="0" t="0" r="1905" b="0"/>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BC6710" w:rsidRDefault="00BC6710">
          <w:pPr>
            <w:pStyle w:val="Piedepgina"/>
            <w:jc w:val="right"/>
          </w:pPr>
        </w:p>
      </w:tc>
    </w:tr>
  </w:tbl>
  <w:p w:rsidR="00BC6710" w:rsidRDefault="00401311">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710" w:rsidRDefault="00401311">
      <w:pPr>
        <w:pStyle w:val="Piedepgina"/>
        <w:tabs>
          <w:tab w:val="right" w:pos="2155"/>
        </w:tabs>
        <w:spacing w:after="80" w:line="240" w:lineRule="atLeast"/>
        <w:ind w:left="680"/>
        <w:rPr>
          <w:u w:val="single"/>
        </w:rPr>
      </w:pPr>
      <w:r>
        <w:rPr>
          <w:u w:val="single"/>
        </w:rPr>
        <w:tab/>
      </w:r>
    </w:p>
  </w:footnote>
  <w:footnote w:type="continuationSeparator" w:id="0">
    <w:p w:rsidR="00BC6710" w:rsidRDefault="00401311">
      <w:pPr>
        <w:pStyle w:val="Piedepgina"/>
        <w:tabs>
          <w:tab w:val="right" w:pos="2155"/>
        </w:tabs>
        <w:spacing w:after="80" w:line="240" w:lineRule="atLeast"/>
        <w:ind w:left="680"/>
        <w:rPr>
          <w:u w:val="single"/>
        </w:rPr>
      </w:pPr>
      <w:r>
        <w:rPr>
          <w:u w:val="single"/>
        </w:rPr>
        <w:tab/>
      </w:r>
    </w:p>
  </w:footnote>
  <w:footnote w:type="continuationNotice" w:id="1">
    <w:p w:rsidR="00BC6710" w:rsidRDefault="00BC6710">
      <w:pPr>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710" w:rsidRDefault="00401311">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710" w:rsidRDefault="00401311">
    <w:pPr>
      <w:pStyle w:val="Encabezado"/>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710" w:rsidRDefault="00BC6710">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7372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10"/>
    <w:rsid w:val="00283484"/>
    <w:rsid w:val="00401311"/>
    <w:rsid w:val="00BC6710"/>
    <w:rsid w:val="00FD4322"/>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4_GA"/>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Char Char Char, Char Char Char Char Char Char, Char Char Char Char Char Char Char,Char Char Char,Char Char Char Char Char,Char Char Char Char Char Char,Char Char Char Char Char Char Char,Char, Char,Sharp - Footnote Text"/>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Char Char Char Car, Char Char Char Char Char Char Car, Char Char Char Char Char Char Char Car,Char Char Char Car,Char Char Char Char Char Car,Char Char Char Char Char Char Car,Char Char Char Char Char Char Char Car,Char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359</Words>
  <Characters>1979</Characters>
  <Application>Microsoft Office Word</Application>
  <DocSecurity>0</DocSecurity>
  <Lines>16</Lines>
  <Paragraphs>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6</cp:revision>
  <cp:lastPrinted>2017-10-25T12:09:00Z</cp:lastPrinted>
  <dcterms:created xsi:type="dcterms:W3CDTF">2018-03-16T13:40:00Z</dcterms:created>
  <dcterms:modified xsi:type="dcterms:W3CDTF">2018-06-27T06:41:00Z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