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62072" w:rsidP="00BC588D">
            <w:pPr>
              <w:bidi w:val="0"/>
              <w:spacing w:after="20"/>
              <w:jc w:val="left"/>
              <w:rPr>
                <w:szCs w:val="20"/>
                <w:lang w:val="fr-FR"/>
              </w:rPr>
            </w:pPr>
            <w:r>
              <w:rPr>
                <w:sz w:val="40"/>
                <w:szCs w:val="20"/>
              </w:rPr>
              <w:t>C</w:t>
            </w:r>
            <w:r w:rsidR="001467EC">
              <w:rPr>
                <w:sz w:val="40"/>
                <w:szCs w:val="20"/>
              </w:rPr>
              <w:t>R</w:t>
            </w:r>
            <w:r w:rsidR="00BC588D">
              <w:rPr>
                <w:sz w:val="40"/>
                <w:szCs w:val="20"/>
              </w:rPr>
              <w:t>PD</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9404A">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BF3BEF" w:rsidRPr="00630627" w:rsidTr="00C51057">
        <w:trPr>
          <w:trHeight w:hRule="exact" w:val="2835"/>
        </w:trPr>
        <w:tc>
          <w:tcPr>
            <w:tcW w:w="1286" w:type="dxa"/>
            <w:tcBorders>
              <w:top w:val="nil"/>
              <w:bottom w:val="single" w:sz="12" w:space="0" w:color="auto"/>
            </w:tcBorders>
          </w:tcPr>
          <w:p w:rsidR="00BF3BEF" w:rsidRPr="00DB7679" w:rsidRDefault="004B4257" w:rsidP="00BF3BEF">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pt;height:49.45pt" o:allowincell="f" o:allowoverlap="f">
                  <v:imagedata r:id="rId8" o:title=""/>
                </v:shape>
              </w:pict>
            </w:r>
          </w:p>
        </w:tc>
        <w:tc>
          <w:tcPr>
            <w:tcW w:w="4767" w:type="dxa"/>
            <w:tcBorders>
              <w:top w:val="nil"/>
              <w:bottom w:val="single" w:sz="12" w:space="0" w:color="auto"/>
            </w:tcBorders>
          </w:tcPr>
          <w:p w:rsidR="00BF3BEF" w:rsidRPr="0045649E" w:rsidRDefault="008F0FC5" w:rsidP="00BF3BEF">
            <w:pPr>
              <w:spacing w:before="120" w:after="40" w:line="640" w:lineRule="exact"/>
              <w:jc w:val="left"/>
              <w:rPr>
                <w:b/>
                <w:bCs/>
                <w:sz w:val="50"/>
                <w:szCs w:val="50"/>
                <w:rtl/>
              </w:rPr>
            </w:pPr>
            <w:r>
              <w:rPr>
                <w:rFonts w:hint="cs"/>
                <w:b/>
                <w:bCs/>
                <w:sz w:val="56"/>
                <w:szCs w:val="56"/>
                <w:rtl/>
              </w:rPr>
              <w:t>الجمعية العامة</w:t>
            </w:r>
          </w:p>
        </w:tc>
        <w:tc>
          <w:tcPr>
            <w:tcW w:w="3598" w:type="dxa"/>
            <w:tcBorders>
              <w:top w:val="nil"/>
              <w:bottom w:val="single" w:sz="12" w:space="0" w:color="auto"/>
            </w:tcBorders>
          </w:tcPr>
          <w:p w:rsidR="00BF3BEF" w:rsidRPr="000C196E" w:rsidRDefault="00BF3BEF" w:rsidP="00BF3BEF">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proofErr w:type="spellStart"/>
            <w:r w:rsidR="00F9404A">
              <w:rPr>
                <w:lang w:val="fr-CH"/>
              </w:rPr>
              <w:t>dist</w:t>
            </w:r>
            <w:proofErr w:type="spellEnd"/>
            <w:r w:rsidRPr="00E71938">
              <w:fldChar w:fldCharType="end"/>
            </w:r>
          </w:p>
          <w:p w:rsidR="00BF3BEF" w:rsidRPr="000C196E" w:rsidRDefault="00BF3BEF" w:rsidP="00BF3BEF">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00F9404A">
              <w:rPr>
                <w:lang w:val="fr-CH"/>
              </w:rPr>
              <w:t>date</w:t>
            </w:r>
            <w:r>
              <w:fldChar w:fldCharType="end"/>
            </w:r>
          </w:p>
          <w:p w:rsidR="00BF3BEF" w:rsidRPr="000C196E" w:rsidRDefault="00BF3BEF" w:rsidP="00BF3BEF">
            <w:pPr>
              <w:bidi w:val="0"/>
              <w:jc w:val="left"/>
              <w:rPr>
                <w:lang w:val="fr-CH"/>
              </w:rPr>
            </w:pPr>
            <w:r>
              <w:fldChar w:fldCharType="begin"/>
            </w:r>
            <w:r w:rsidRPr="000C196E">
              <w:rPr>
                <w:lang w:val="fr-CH"/>
              </w:rPr>
              <w:instrText xml:space="preserve"> DOCPROPERTY  tlang  \* MERGEFORMAT </w:instrText>
            </w:r>
            <w:r>
              <w:fldChar w:fldCharType="separate"/>
            </w:r>
            <w:proofErr w:type="spellStart"/>
            <w:r w:rsidR="00F9404A">
              <w:rPr>
                <w:lang w:val="fr-CH"/>
              </w:rPr>
              <w:t>tlang</w:t>
            </w:r>
            <w:proofErr w:type="spellEnd"/>
            <w:r>
              <w:fldChar w:fldCharType="end"/>
            </w:r>
          </w:p>
          <w:p w:rsidR="00BF3BEF" w:rsidRPr="000C196E" w:rsidRDefault="00BF3BEF" w:rsidP="00BF3BEF">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proofErr w:type="spellStart"/>
            <w:r w:rsidR="00F9404A">
              <w:rPr>
                <w:lang w:val="fr-CH"/>
              </w:rPr>
              <w:t>olang</w:t>
            </w:r>
            <w:proofErr w:type="spellEnd"/>
            <w:r>
              <w:fldChar w:fldCharType="end"/>
            </w:r>
          </w:p>
          <w:p w:rsidR="00BF3BEF" w:rsidRPr="00024732" w:rsidRDefault="00BF3BEF" w:rsidP="00BF3BEF">
            <w:pPr>
              <w:bidi w:val="0"/>
              <w:jc w:val="left"/>
              <w:rPr>
                <w:lang w:val="fr-CH"/>
              </w:rPr>
            </w:pPr>
            <w:r>
              <w:fldChar w:fldCharType="begin"/>
            </w:r>
            <w:r w:rsidRPr="00024732">
              <w:rPr>
                <w:lang w:val="fr-CH"/>
              </w:rPr>
              <w:instrText xml:space="preserve"> DOCPROPERTY  virs  \* MERGEFORMAT </w:instrText>
            </w:r>
            <w:r>
              <w:fldChar w:fldCharType="separate"/>
            </w:r>
            <w:proofErr w:type="spellStart"/>
            <w:r w:rsidR="00F9404A">
              <w:rPr>
                <w:lang w:val="fr-CH"/>
              </w:rPr>
              <w:t>virs</w:t>
            </w:r>
            <w:proofErr w:type="spellEnd"/>
            <w:r>
              <w:fldChar w:fldCharType="end"/>
            </w:r>
          </w:p>
        </w:tc>
      </w:tr>
    </w:tbl>
    <w:p w:rsidR="008F0FC5" w:rsidRDefault="008F0FC5" w:rsidP="008F0FC5">
      <w:pPr>
        <w:spacing w:before="120" w:line="380" w:lineRule="exact"/>
        <w:rPr>
          <w:b/>
          <w:bCs/>
          <w:sz w:val="36"/>
          <w:szCs w:val="36"/>
          <w:rtl/>
        </w:rPr>
      </w:pPr>
      <w:r w:rsidRPr="00FF01B7">
        <w:rPr>
          <w:rFonts w:hint="cs"/>
          <w:b/>
          <w:bCs/>
          <w:sz w:val="36"/>
          <w:szCs w:val="36"/>
          <w:rtl/>
        </w:rPr>
        <w:t>مجلس حقوق الإنسان</w:t>
      </w:r>
    </w:p>
    <w:p w:rsidR="008F0FC5" w:rsidRPr="005E6890" w:rsidRDefault="008F0FC5" w:rsidP="008F0FC5">
      <w:pPr>
        <w:spacing w:line="380" w:lineRule="exact"/>
        <w:textDirection w:val="tbRlV"/>
        <w:rPr>
          <w:b/>
          <w:bCs/>
          <w:sz w:val="30"/>
          <w:rtl/>
          <w:lang w:eastAsia="zh-TW"/>
        </w:rPr>
      </w:pPr>
      <w:r w:rsidRPr="005E6890">
        <w:rPr>
          <w:b/>
          <w:bCs/>
          <w:sz w:val="30"/>
          <w:rtl/>
          <w:lang w:eastAsia="zh-TW"/>
        </w:rPr>
        <w:t>الفريق العامل المعني بالاحتجاز التعسفي</w:t>
      </w:r>
    </w:p>
    <w:p w:rsidR="004B4257" w:rsidRPr="004B4257" w:rsidRDefault="008F0FC5" w:rsidP="004B4257">
      <w:pPr>
        <w:pStyle w:val="HChGA"/>
        <w:rPr>
          <w:rtl/>
          <w:lang w:eastAsia="zh-TW"/>
        </w:rPr>
      </w:pPr>
      <w:r w:rsidRPr="007F33ED">
        <w:rPr>
          <w:rFonts w:hint="cs"/>
          <w:rtl/>
          <w:lang w:eastAsia="zh-TW"/>
        </w:rPr>
        <w:tab/>
      </w:r>
      <w:r w:rsidRPr="007F33ED">
        <w:rPr>
          <w:rFonts w:hint="cs"/>
          <w:rtl/>
          <w:lang w:eastAsia="zh-TW"/>
        </w:rPr>
        <w:tab/>
      </w:r>
      <w:r w:rsidR="004B4257" w:rsidRPr="002721E7">
        <w:rPr>
          <w:rtl/>
          <w:lang w:eastAsia="zh-TW"/>
        </w:rPr>
        <w:t xml:space="preserve">الآراء التي اعتمدها الفريق العامل المعني بالاحتجاز التعسفي في دورته </w:t>
      </w:r>
      <w:r w:rsidR="004B4257" w:rsidRPr="002721E7">
        <w:rPr>
          <w:rFonts w:hint="cs"/>
          <w:color w:val="FF0000"/>
          <w:rtl/>
          <w:lang w:eastAsia="zh-TW"/>
        </w:rPr>
        <w:t>الرقم</w:t>
      </w:r>
      <w:r w:rsidR="004B4257" w:rsidRPr="002721E7">
        <w:rPr>
          <w:rtl/>
          <w:lang w:eastAsia="zh-TW"/>
        </w:rPr>
        <w:t xml:space="preserve">، </w:t>
      </w:r>
      <w:r w:rsidR="004B4257" w:rsidRPr="002721E7">
        <w:rPr>
          <w:rFonts w:hint="eastAsia"/>
          <w:color w:val="FF0000"/>
          <w:rtl/>
          <w:lang w:eastAsia="zh-TW"/>
        </w:rPr>
        <w:t>التواريخ</w:t>
      </w:r>
    </w:p>
    <w:p w:rsidR="004B4257" w:rsidRPr="004B4257" w:rsidRDefault="004B4257" w:rsidP="004B4257">
      <w:pPr>
        <w:pStyle w:val="H1GA"/>
        <w:rPr>
          <w:rtl/>
        </w:rPr>
      </w:pPr>
      <w:r w:rsidRPr="002721E7">
        <w:rPr>
          <w:rFonts w:hint="cs"/>
          <w:rtl/>
          <w:lang w:eastAsia="zh-TW"/>
        </w:rPr>
        <w:tab/>
      </w:r>
      <w:r w:rsidRPr="002721E7">
        <w:rPr>
          <w:rFonts w:hint="cs"/>
          <w:rtl/>
          <w:lang w:eastAsia="zh-TW"/>
        </w:rPr>
        <w:tab/>
      </w:r>
      <w:r w:rsidRPr="002721E7">
        <w:rPr>
          <w:rtl/>
          <w:lang w:eastAsia="zh-TW"/>
        </w:rPr>
        <w:t>الرأي رقم </w:t>
      </w:r>
      <w:r w:rsidRPr="002721E7">
        <w:rPr>
          <w:rFonts w:asciiTheme="majorBidi" w:hAnsiTheme="majorBidi"/>
          <w:color w:val="FF0000"/>
          <w:szCs w:val="24"/>
          <w:rtl/>
          <w:lang w:eastAsia="zh-TW"/>
        </w:rPr>
        <w:t>##</w:t>
      </w:r>
      <w:r w:rsidRPr="002721E7">
        <w:rPr>
          <w:rFonts w:ascii="Traditional Arabic" w:hAnsi="Traditional Arabic"/>
          <w:rtl/>
          <w:lang w:eastAsia="zh-TW"/>
        </w:rPr>
        <w:t>/</w:t>
      </w:r>
      <w:r w:rsidRPr="002721E7">
        <w:rPr>
          <w:rFonts w:asciiTheme="majorBidi" w:hAnsiTheme="majorBidi"/>
          <w:color w:val="FF0000"/>
          <w:szCs w:val="24"/>
          <w:rtl/>
          <w:lang w:eastAsia="zh-TW"/>
        </w:rPr>
        <w:t>####</w:t>
      </w:r>
      <w:r w:rsidRPr="002721E7">
        <w:rPr>
          <w:rtl/>
          <w:lang w:eastAsia="zh-TW"/>
        </w:rPr>
        <w:t xml:space="preserve"> بشأن </w:t>
      </w:r>
      <w:r w:rsidRPr="002721E7">
        <w:rPr>
          <w:color w:val="FF0000"/>
          <w:rtl/>
          <w:lang w:eastAsia="zh-TW"/>
        </w:rPr>
        <w:t>الشخص</w:t>
      </w:r>
      <w:r w:rsidRPr="002721E7">
        <w:rPr>
          <w:rtl/>
          <w:lang w:eastAsia="zh-TW"/>
        </w:rPr>
        <w:t xml:space="preserve"> (</w:t>
      </w:r>
      <w:r w:rsidRPr="002721E7">
        <w:rPr>
          <w:color w:val="FF0000"/>
          <w:rtl/>
          <w:lang w:eastAsia="zh-TW"/>
        </w:rPr>
        <w:t>البلد</w:t>
      </w:r>
      <w:r w:rsidRPr="002721E7">
        <w:rPr>
          <w:rtl/>
          <w:lang w:eastAsia="zh-TW"/>
        </w:rPr>
        <w:t>)</w:t>
      </w:r>
      <w:r w:rsidRPr="002721E7">
        <w:rPr>
          <w:rStyle w:val="Appelnotedebasdep"/>
          <w:rFonts w:hint="cs"/>
          <w:color w:val="FF0000"/>
          <w:sz w:val="20"/>
          <w:rtl/>
          <w:lang w:eastAsia="zh-TW"/>
        </w:rPr>
        <w:t>[</w:t>
      </w:r>
      <w:r w:rsidRPr="004B4257">
        <w:rPr>
          <w:rStyle w:val="Appelnotedebasdep"/>
          <w:color w:val="FF0000"/>
          <w:sz w:val="20"/>
          <w:vertAlign w:val="baseline"/>
          <w:rtl/>
          <w:lang w:eastAsia="zh-TW"/>
        </w:rPr>
        <w:footnoteReference w:customMarkFollows="1" w:id="1"/>
        <w:t>*</w:t>
      </w:r>
      <w:r w:rsidRPr="002721E7">
        <w:rPr>
          <w:rStyle w:val="Appelnotedebasdep"/>
          <w:rFonts w:hint="cs"/>
          <w:color w:val="FF0000"/>
          <w:sz w:val="20"/>
          <w:rtl/>
          <w:lang w:eastAsia="zh-TW"/>
        </w:rPr>
        <w:t>]</w:t>
      </w:r>
    </w:p>
    <w:p w:rsidR="004B4257" w:rsidRPr="002721E7" w:rsidRDefault="004B4257" w:rsidP="004B4257">
      <w:pPr>
        <w:pStyle w:val="SingleTxtGA"/>
        <w:rPr>
          <w:rtl/>
          <w:lang w:eastAsia="zh-TW"/>
        </w:rPr>
      </w:pPr>
      <w:r w:rsidRPr="002721E7">
        <w:rPr>
          <w:rtl/>
          <w:lang w:eastAsia="zh-TW"/>
        </w:rPr>
        <w:t>1</w:t>
      </w:r>
      <w:r w:rsidRPr="002721E7">
        <w:rPr>
          <w:rFonts w:hint="cs"/>
          <w:rtl/>
          <w:lang w:eastAsia="zh-TW"/>
        </w:rPr>
        <w:t>-</w:t>
      </w:r>
      <w:r w:rsidRPr="002721E7">
        <w:rPr>
          <w:rFonts w:hint="cs"/>
          <w:rtl/>
          <w:lang w:eastAsia="zh-TW"/>
        </w:rPr>
        <w:tab/>
      </w:r>
      <w:r w:rsidRPr="002721E7">
        <w:rPr>
          <w:rtl/>
          <w:lang w:eastAsia="zh-TW"/>
        </w:rPr>
        <w:t>أ</w:t>
      </w:r>
      <w:r w:rsidRPr="002721E7">
        <w:rPr>
          <w:rFonts w:hint="cs"/>
          <w:rtl/>
          <w:lang w:eastAsia="zh-TW"/>
        </w:rPr>
        <w:t>ُ</w:t>
      </w:r>
      <w:r w:rsidRPr="002721E7">
        <w:rPr>
          <w:rtl/>
          <w:lang w:eastAsia="zh-TW"/>
        </w:rPr>
        <w:t>نشئ الفريق العامل المعني بالاحتجاز التعسفي بموجب القرار 1991/42 الصادر عن لجنة حقوق الإنسان</w:t>
      </w:r>
      <w:r w:rsidRPr="002721E7">
        <w:rPr>
          <w:rFonts w:hint="cs"/>
          <w:rtl/>
          <w:lang w:eastAsia="zh-TW"/>
        </w:rPr>
        <w:t>. و</w:t>
      </w:r>
      <w:r w:rsidRPr="002721E7">
        <w:rPr>
          <w:rtl/>
          <w:lang w:eastAsia="zh-TW"/>
        </w:rPr>
        <w:t xml:space="preserve">مددت </w:t>
      </w:r>
      <w:r w:rsidRPr="002721E7">
        <w:rPr>
          <w:rFonts w:hint="cs"/>
          <w:rtl/>
          <w:lang w:eastAsia="zh-TW"/>
        </w:rPr>
        <w:t xml:space="preserve">اللجنة </w:t>
      </w:r>
      <w:r w:rsidRPr="002721E7">
        <w:rPr>
          <w:rtl/>
          <w:lang w:eastAsia="zh-TW"/>
        </w:rPr>
        <w:t>ولاية الفريق العامل ووض</w:t>
      </w:r>
      <w:r w:rsidRPr="002721E7">
        <w:rPr>
          <w:rFonts w:hint="cs"/>
          <w:rtl/>
          <w:lang w:eastAsia="zh-TW"/>
        </w:rPr>
        <w:t>ّ</w:t>
      </w:r>
      <w:r w:rsidRPr="002721E7">
        <w:rPr>
          <w:rtl/>
          <w:lang w:eastAsia="zh-TW"/>
        </w:rPr>
        <w:t xml:space="preserve">حتها في قرارها 1997/50. وعملاً بقرار الجمعية العامة 60/251 ومقرر مجلس حقوق الإنسان 1/102، </w:t>
      </w:r>
      <w:r w:rsidRPr="002721E7">
        <w:rPr>
          <w:rFonts w:hint="eastAsia"/>
          <w:rtl/>
          <w:lang w:eastAsia="zh-TW"/>
        </w:rPr>
        <w:t>اضطلع</w:t>
      </w:r>
      <w:r w:rsidRPr="002721E7">
        <w:rPr>
          <w:rtl/>
          <w:lang w:eastAsia="zh-TW"/>
        </w:rPr>
        <w:t xml:space="preserve"> المجلس </w:t>
      </w:r>
      <w:r w:rsidRPr="002721E7">
        <w:rPr>
          <w:rFonts w:hint="eastAsia"/>
          <w:rtl/>
          <w:lang w:eastAsia="zh-TW"/>
        </w:rPr>
        <w:t>بولاية</w:t>
      </w:r>
      <w:r w:rsidRPr="002721E7">
        <w:rPr>
          <w:rtl/>
          <w:lang w:eastAsia="zh-TW"/>
        </w:rPr>
        <w:t xml:space="preserve"> </w:t>
      </w:r>
      <w:r w:rsidRPr="002721E7">
        <w:rPr>
          <w:rFonts w:hint="eastAsia"/>
          <w:rtl/>
          <w:lang w:eastAsia="zh-TW"/>
        </w:rPr>
        <w:t>اللجنة</w:t>
      </w:r>
      <w:r w:rsidRPr="002721E7">
        <w:rPr>
          <w:rtl/>
          <w:lang w:eastAsia="zh-TW"/>
        </w:rPr>
        <w:t>. و</w:t>
      </w:r>
      <w:r w:rsidRPr="002721E7">
        <w:rPr>
          <w:rFonts w:hint="cs"/>
          <w:rtl/>
          <w:lang w:eastAsia="zh-TW"/>
        </w:rPr>
        <w:t>م</w:t>
      </w:r>
      <w:r w:rsidRPr="002721E7">
        <w:rPr>
          <w:rtl/>
          <w:lang w:eastAsia="zh-TW"/>
        </w:rPr>
        <w:t>دد</w:t>
      </w:r>
      <w:r w:rsidRPr="002721E7">
        <w:rPr>
          <w:rFonts w:hint="cs"/>
          <w:rtl/>
          <w:lang w:eastAsia="zh-TW"/>
        </w:rPr>
        <w:t xml:space="preserve"> المجلس</w:t>
      </w:r>
      <w:r w:rsidRPr="002721E7">
        <w:rPr>
          <w:rtl/>
          <w:lang w:eastAsia="zh-TW"/>
        </w:rPr>
        <w:t xml:space="preserve"> ولاية الفريق العامل مؤخراً لفترة ثلاث سنوات بموجب قرار</w:t>
      </w:r>
      <w:r w:rsidRPr="002721E7">
        <w:rPr>
          <w:rFonts w:hint="cs"/>
          <w:rtl/>
          <w:lang w:eastAsia="zh-TW"/>
        </w:rPr>
        <w:t>ه</w:t>
      </w:r>
      <w:r w:rsidRPr="002721E7">
        <w:rPr>
          <w:rtl/>
          <w:lang w:eastAsia="zh-TW"/>
        </w:rPr>
        <w:t xml:space="preserve"> </w:t>
      </w:r>
      <w:r w:rsidRPr="002721E7">
        <w:rPr>
          <w:color w:val="FF0000"/>
          <w:lang w:eastAsia="zh-TW"/>
        </w:rPr>
        <w:t>##</w:t>
      </w:r>
      <w:r w:rsidRPr="002721E7">
        <w:rPr>
          <w:rFonts w:hint="cs"/>
          <w:sz w:val="14"/>
          <w:szCs w:val="24"/>
          <w:rtl/>
          <w:lang w:val="fr-CH" w:eastAsia="zh-TW"/>
        </w:rPr>
        <w:t>/</w:t>
      </w:r>
      <w:r w:rsidRPr="002721E7">
        <w:rPr>
          <w:color w:val="FF0000"/>
          <w:lang w:eastAsia="zh-TW"/>
        </w:rPr>
        <w:t>##</w:t>
      </w:r>
      <w:r w:rsidRPr="002721E7">
        <w:rPr>
          <w:rtl/>
          <w:lang w:eastAsia="zh-TW"/>
        </w:rPr>
        <w:t>.</w:t>
      </w:r>
    </w:p>
    <w:p w:rsidR="004B4257" w:rsidRPr="002721E7" w:rsidRDefault="004B4257" w:rsidP="004B4257">
      <w:pPr>
        <w:pStyle w:val="SingleTxtGA"/>
        <w:rPr>
          <w:rtl/>
          <w:lang w:eastAsia="zh-TW" w:bidi="ar-DZ"/>
        </w:rPr>
      </w:pPr>
      <w:r w:rsidRPr="002721E7">
        <w:rPr>
          <w:rtl/>
          <w:lang w:eastAsia="zh-TW"/>
        </w:rPr>
        <w:t>2</w:t>
      </w:r>
      <w:r w:rsidRPr="002721E7">
        <w:rPr>
          <w:rFonts w:hint="cs"/>
          <w:rtl/>
          <w:lang w:eastAsia="zh-TW"/>
        </w:rPr>
        <w:t>-</w:t>
      </w:r>
      <w:r w:rsidRPr="002721E7">
        <w:rPr>
          <w:rFonts w:hint="cs"/>
          <w:rtl/>
          <w:lang w:eastAsia="zh-TW"/>
        </w:rPr>
        <w:tab/>
      </w:r>
      <w:r w:rsidRPr="002721E7">
        <w:rPr>
          <w:rtl/>
          <w:lang w:eastAsia="zh-TW"/>
        </w:rPr>
        <w:t>و</w:t>
      </w:r>
      <w:r w:rsidRPr="002721E7">
        <w:rPr>
          <w:rFonts w:hint="cs"/>
          <w:rtl/>
          <w:lang w:eastAsia="zh-TW"/>
        </w:rPr>
        <w:t xml:space="preserve">في </w:t>
      </w:r>
      <w:r w:rsidRPr="002721E7">
        <w:rPr>
          <w:rFonts w:hint="eastAsia"/>
          <w:color w:val="FF0000"/>
          <w:rtl/>
          <w:lang w:eastAsia="zh-TW"/>
        </w:rPr>
        <w:t>التاريخ</w:t>
      </w:r>
      <w:r w:rsidRPr="002721E7">
        <w:rPr>
          <w:rFonts w:hint="cs"/>
          <w:rtl/>
          <w:lang w:eastAsia="zh-TW"/>
        </w:rPr>
        <w:t xml:space="preserve">، أحال الفريق العامل، </w:t>
      </w:r>
      <w:r w:rsidRPr="002721E7">
        <w:rPr>
          <w:rtl/>
          <w:lang w:eastAsia="zh-TW"/>
        </w:rPr>
        <w:t>وفقاً لأساليب عمل</w:t>
      </w:r>
      <w:r w:rsidRPr="002721E7">
        <w:rPr>
          <w:rFonts w:hint="cs"/>
          <w:rtl/>
          <w:lang w:eastAsia="zh-TW"/>
        </w:rPr>
        <w:t>ه</w:t>
      </w:r>
      <w:r w:rsidRPr="002721E7">
        <w:rPr>
          <w:rtl/>
          <w:lang w:eastAsia="zh-TW"/>
        </w:rPr>
        <w:t xml:space="preserve"> (</w:t>
      </w:r>
      <w:r w:rsidRPr="002721E7">
        <w:rPr>
          <w:rFonts w:hint="cs"/>
          <w:color w:val="FF0000"/>
          <w:rtl/>
          <w:lang w:eastAsia="zh-TW"/>
        </w:rPr>
        <w:t>رمز الوثيقة</w:t>
      </w:r>
      <w:r w:rsidRPr="002721E7">
        <w:rPr>
          <w:rFonts w:hint="cs"/>
          <w:rtl/>
          <w:lang w:eastAsia="zh-TW"/>
        </w:rPr>
        <w:t>)،</w:t>
      </w:r>
      <w:r w:rsidRPr="002721E7">
        <w:rPr>
          <w:rtl/>
          <w:lang w:eastAsia="zh-TW"/>
        </w:rPr>
        <w:t xml:space="preserve"> بلاغاً إلى حكومة </w:t>
      </w:r>
      <w:r w:rsidRPr="002721E7">
        <w:rPr>
          <w:color w:val="FF0000"/>
          <w:rtl/>
          <w:lang w:eastAsia="zh-TW"/>
        </w:rPr>
        <w:t xml:space="preserve">البلد </w:t>
      </w:r>
      <w:r w:rsidRPr="002721E7">
        <w:rPr>
          <w:rtl/>
          <w:lang w:eastAsia="zh-TW"/>
        </w:rPr>
        <w:t xml:space="preserve">بشأن </w:t>
      </w:r>
      <w:r w:rsidRPr="002721E7">
        <w:rPr>
          <w:color w:val="FF0000"/>
          <w:rtl/>
          <w:lang w:eastAsia="zh-TW"/>
        </w:rPr>
        <w:t>الشخص</w:t>
      </w:r>
      <w:r w:rsidRPr="002721E7">
        <w:rPr>
          <w:rtl/>
          <w:lang w:eastAsia="zh-TW"/>
        </w:rPr>
        <w:t xml:space="preserve">. </w:t>
      </w:r>
      <w:r w:rsidRPr="002721E7">
        <w:rPr>
          <w:color w:val="FF0000"/>
          <w:rtl/>
          <w:lang w:eastAsia="zh-TW"/>
        </w:rPr>
        <w:t>[ولم ترد الحكومة على البلاغ]</w:t>
      </w:r>
      <w:r w:rsidRPr="002721E7">
        <w:rPr>
          <w:rtl/>
          <w:lang w:eastAsia="zh-TW"/>
        </w:rPr>
        <w:t xml:space="preserve"> </w:t>
      </w:r>
      <w:r w:rsidRPr="002721E7">
        <w:rPr>
          <w:color w:val="FF0000"/>
          <w:rtl/>
          <w:lang w:eastAsia="zh-TW"/>
        </w:rPr>
        <w:t>[وردت الحكومة على البلاغ في التاريخ]</w:t>
      </w:r>
      <w:r w:rsidRPr="002721E7">
        <w:rPr>
          <w:rFonts w:hint="cs"/>
          <w:color w:val="FF0000"/>
          <w:rtl/>
          <w:lang w:eastAsia="zh-TW"/>
        </w:rPr>
        <w:t xml:space="preserve"> [وقدمت الحكومة رداً متأخراً في التاريخ]</w:t>
      </w:r>
      <w:r w:rsidRPr="002721E7">
        <w:rPr>
          <w:rFonts w:hint="cs"/>
          <w:rtl/>
          <w:lang w:eastAsia="zh-TW"/>
        </w:rPr>
        <w:t>.</w:t>
      </w:r>
      <w:r w:rsidRPr="002721E7">
        <w:rPr>
          <w:rtl/>
          <w:lang w:eastAsia="zh-TW"/>
        </w:rPr>
        <w:t xml:space="preserve"> والدولة </w:t>
      </w:r>
      <w:r w:rsidRPr="002721E7">
        <w:rPr>
          <w:rFonts w:hint="cs"/>
          <w:color w:val="FF0000"/>
          <w:rtl/>
          <w:lang w:eastAsia="zh-TW"/>
        </w:rPr>
        <w:t>[</w:t>
      </w:r>
      <w:r w:rsidRPr="002721E7">
        <w:rPr>
          <w:color w:val="FF0000"/>
          <w:rtl/>
          <w:lang w:eastAsia="zh-TW"/>
        </w:rPr>
        <w:t>طرف</w:t>
      </w:r>
      <w:r w:rsidRPr="002721E7">
        <w:rPr>
          <w:rFonts w:hint="cs"/>
          <w:color w:val="FF0000"/>
          <w:rtl/>
          <w:lang w:eastAsia="zh-TW"/>
        </w:rPr>
        <w:t>]</w:t>
      </w:r>
      <w:r w:rsidRPr="002721E7">
        <w:rPr>
          <w:color w:val="FF0000"/>
          <w:rtl/>
          <w:lang w:eastAsia="zh-TW"/>
        </w:rPr>
        <w:t xml:space="preserve"> </w:t>
      </w:r>
      <w:r w:rsidRPr="002721E7">
        <w:rPr>
          <w:rFonts w:hint="cs"/>
          <w:color w:val="FF0000"/>
          <w:rtl/>
          <w:lang w:eastAsia="zh-TW"/>
        </w:rPr>
        <w:t>[ليست طرفاً]</w:t>
      </w:r>
      <w:r w:rsidRPr="002721E7">
        <w:rPr>
          <w:rFonts w:hint="cs"/>
          <w:rtl/>
          <w:lang w:eastAsia="zh-TW"/>
        </w:rPr>
        <w:t xml:space="preserve"> </w:t>
      </w:r>
      <w:r w:rsidRPr="002721E7">
        <w:rPr>
          <w:rtl/>
          <w:lang w:eastAsia="zh-TW"/>
        </w:rPr>
        <w:t>في العهد الدولي الخاص بالحقوق المدنية والسياسية.</w:t>
      </w:r>
    </w:p>
    <w:p w:rsidR="004B4257" w:rsidRPr="002721E7" w:rsidRDefault="004B4257" w:rsidP="004B4257">
      <w:pPr>
        <w:pStyle w:val="SingleTxtGA"/>
        <w:rPr>
          <w:rtl/>
          <w:lang w:eastAsia="zh-TW"/>
        </w:rPr>
      </w:pPr>
      <w:r w:rsidRPr="002721E7">
        <w:rPr>
          <w:rtl/>
          <w:lang w:eastAsia="zh-TW"/>
        </w:rPr>
        <w:t>3</w:t>
      </w:r>
      <w:r w:rsidRPr="002721E7">
        <w:rPr>
          <w:rFonts w:hint="cs"/>
          <w:rtl/>
          <w:lang w:eastAsia="zh-TW"/>
        </w:rPr>
        <w:t>-</w:t>
      </w:r>
      <w:r w:rsidRPr="002721E7">
        <w:rPr>
          <w:rFonts w:hint="cs"/>
          <w:rtl/>
          <w:lang w:eastAsia="zh-TW"/>
        </w:rPr>
        <w:tab/>
      </w:r>
      <w:r w:rsidRPr="002721E7">
        <w:rPr>
          <w:rtl/>
          <w:lang w:eastAsia="zh-TW"/>
        </w:rPr>
        <w:t>ويرى الفريق العامل أن سلب الحرية إجراء تعسفي في الحالات التالية:</w:t>
      </w:r>
    </w:p>
    <w:p w:rsidR="004B4257" w:rsidRPr="002721E7" w:rsidRDefault="004B4257" w:rsidP="004B4257">
      <w:pPr>
        <w:pStyle w:val="SingleTxtGA"/>
        <w:rPr>
          <w:rtl/>
          <w:lang w:eastAsia="zh-TW"/>
        </w:rPr>
      </w:pPr>
      <w:r w:rsidRPr="002721E7">
        <w:rPr>
          <w:rFonts w:hint="cs"/>
          <w:rtl/>
          <w:lang w:eastAsia="zh-TW"/>
        </w:rPr>
        <w:tab/>
      </w:r>
      <w:r w:rsidRPr="002721E7">
        <w:rPr>
          <w:rtl/>
          <w:lang w:eastAsia="zh-TW"/>
        </w:rPr>
        <w:t>(أ)</w:t>
      </w:r>
      <w:r w:rsidRPr="002721E7">
        <w:rPr>
          <w:rtl/>
          <w:lang w:eastAsia="zh-TW"/>
        </w:rPr>
        <w:tab/>
        <w:t>إذا اتضحت استحالة الاحتجاج بأي أساس قانوني لتبرير سلب الحرية (مثل إبقاء الشخص رهن الاحتجاز بعد قضاء مدة عقوبته أو رغم صدور قانون عفو ينطبق عليه) (الفئة الأولى)؛</w:t>
      </w:r>
    </w:p>
    <w:p w:rsidR="004B4257" w:rsidRPr="002721E7" w:rsidRDefault="004B4257" w:rsidP="004B4257">
      <w:pPr>
        <w:pStyle w:val="SingleTxtGA"/>
        <w:rPr>
          <w:rtl/>
          <w:lang w:eastAsia="zh-TW"/>
        </w:rPr>
      </w:pPr>
      <w:r w:rsidRPr="002721E7">
        <w:rPr>
          <w:rFonts w:hint="cs"/>
          <w:rtl/>
          <w:lang w:eastAsia="zh-TW"/>
        </w:rPr>
        <w:tab/>
      </w:r>
      <w:r w:rsidRPr="002721E7">
        <w:rPr>
          <w:rtl/>
          <w:lang w:eastAsia="zh-TW"/>
        </w:rPr>
        <w:t>(ب)</w:t>
      </w:r>
      <w:r w:rsidRPr="002721E7">
        <w:rPr>
          <w:rFonts w:hint="cs"/>
          <w:rtl/>
          <w:lang w:eastAsia="zh-TW"/>
        </w:rPr>
        <w:tab/>
      </w:r>
      <w:r w:rsidRPr="002721E7">
        <w:rPr>
          <w:rtl/>
          <w:lang w:eastAsia="zh-TW"/>
        </w:rPr>
        <w:t>إذا كان سلب الحرية ناجماً عن ممارسة الحقوق أو الحريات التي تكفلها المواد 7 و13 و14 و18 و19 و20 و21 من الإعلان العالمي لحقوق الإنسان وكذلك، في حالة الدول الأطراف في العهد، المواد 12 و18 و19 و21 و22 و25 و26 و27 من العهد (الفئة</w:t>
      </w:r>
      <w:r w:rsidRPr="002721E7">
        <w:rPr>
          <w:rFonts w:hint="cs"/>
          <w:rtl/>
          <w:lang w:eastAsia="zh-TW"/>
        </w:rPr>
        <w:t> </w:t>
      </w:r>
      <w:r w:rsidRPr="002721E7">
        <w:rPr>
          <w:rtl/>
          <w:lang w:eastAsia="zh-TW"/>
        </w:rPr>
        <w:t>الثانية)؛</w:t>
      </w:r>
    </w:p>
    <w:p w:rsidR="004B4257" w:rsidRPr="002721E7" w:rsidRDefault="004B4257" w:rsidP="004B4257">
      <w:pPr>
        <w:pStyle w:val="SingleTxtGA"/>
        <w:rPr>
          <w:rtl/>
          <w:lang w:eastAsia="zh-TW" w:bidi="ar-DZ"/>
        </w:rPr>
      </w:pPr>
      <w:r w:rsidRPr="002721E7">
        <w:rPr>
          <w:rFonts w:hint="cs"/>
          <w:rtl/>
          <w:lang w:eastAsia="zh-TW"/>
        </w:rPr>
        <w:tab/>
      </w:r>
      <w:r w:rsidRPr="002721E7">
        <w:rPr>
          <w:rtl/>
          <w:lang w:eastAsia="zh-TW"/>
        </w:rPr>
        <w:t>(ج)</w:t>
      </w:r>
      <w:r w:rsidRPr="002721E7">
        <w:rPr>
          <w:rtl/>
          <w:lang w:eastAsia="zh-TW"/>
        </w:rPr>
        <w:tab/>
        <w:t xml:space="preserve">إذا كان عدم التقيد، كلياً أو جزئياً، بالقواعد الدولية المتصلة بالحق في محاكمة عادلة، وهي القواعد المنصوص عليها في الإعلان العالمي لحقوق الإنسان وفي الصكوك الدولية </w:t>
      </w:r>
      <w:r w:rsidRPr="002721E7">
        <w:rPr>
          <w:rtl/>
          <w:lang w:eastAsia="zh-TW"/>
        </w:rPr>
        <w:lastRenderedPageBreak/>
        <w:t xml:space="preserve">ذات الصلة التي قبلتها الدول المعنية، من الخطورة بحيث </w:t>
      </w:r>
      <w:r w:rsidRPr="002721E7">
        <w:rPr>
          <w:rFonts w:hint="cs"/>
          <w:rtl/>
          <w:lang w:eastAsia="zh-TW"/>
        </w:rPr>
        <w:t>يُضفي على</w:t>
      </w:r>
      <w:r w:rsidRPr="002721E7">
        <w:rPr>
          <w:rtl/>
          <w:lang w:eastAsia="zh-TW"/>
        </w:rPr>
        <w:t xml:space="preserve"> سلب الحرية</w:t>
      </w:r>
      <w:r w:rsidRPr="002721E7">
        <w:rPr>
          <w:rFonts w:hint="cs"/>
          <w:rtl/>
          <w:lang w:eastAsia="zh-TW"/>
        </w:rPr>
        <w:t xml:space="preserve"> طابعاً</w:t>
      </w:r>
      <w:r w:rsidRPr="002721E7">
        <w:rPr>
          <w:rtl/>
          <w:lang w:eastAsia="zh-TW"/>
        </w:rPr>
        <w:t xml:space="preserve"> تعسفياً (الفئة الثالثة)؛</w:t>
      </w:r>
    </w:p>
    <w:p w:rsidR="004B4257" w:rsidRPr="002721E7" w:rsidRDefault="004B4257" w:rsidP="004B4257">
      <w:pPr>
        <w:pStyle w:val="SingleTxtGA"/>
        <w:rPr>
          <w:rtl/>
          <w:lang w:eastAsia="zh-TW"/>
        </w:rPr>
      </w:pPr>
      <w:r w:rsidRPr="002721E7">
        <w:rPr>
          <w:rFonts w:hint="cs"/>
          <w:rtl/>
          <w:lang w:eastAsia="zh-TW"/>
        </w:rPr>
        <w:tab/>
      </w:r>
      <w:r w:rsidRPr="002721E7">
        <w:rPr>
          <w:rtl/>
          <w:lang w:eastAsia="zh-TW"/>
        </w:rPr>
        <w:t>(د)</w:t>
      </w:r>
      <w:r w:rsidRPr="002721E7">
        <w:rPr>
          <w:rtl/>
          <w:lang w:eastAsia="zh-TW"/>
        </w:rPr>
        <w:tab/>
        <w:t xml:space="preserve">إذا تعرض ملتمسو اللجوء أو المهاجرون </w:t>
      </w:r>
      <w:r w:rsidRPr="002721E7">
        <w:rPr>
          <w:rFonts w:hint="cs"/>
          <w:rtl/>
          <w:lang w:eastAsia="zh-TW"/>
        </w:rPr>
        <w:t>الوافدون أو </w:t>
      </w:r>
      <w:r w:rsidRPr="002721E7">
        <w:rPr>
          <w:rtl/>
          <w:lang w:eastAsia="zh-TW"/>
        </w:rPr>
        <w:t xml:space="preserve">اللاجئون لاحتجاز إداري </w:t>
      </w:r>
      <w:r w:rsidRPr="002721E7">
        <w:rPr>
          <w:rFonts w:hint="cs"/>
          <w:rtl/>
          <w:lang w:eastAsia="zh-TW"/>
        </w:rPr>
        <w:t>مطول</w:t>
      </w:r>
      <w:r w:rsidRPr="002721E7">
        <w:rPr>
          <w:rtl/>
          <w:lang w:eastAsia="zh-TW"/>
        </w:rPr>
        <w:t xml:space="preserve"> من دون إمكانية المراجعة أو التظلم إدارياً أو قضائياً (الفئة الرابعة)؛</w:t>
      </w:r>
    </w:p>
    <w:p w:rsidR="004B4257" w:rsidRPr="002721E7" w:rsidRDefault="004B4257" w:rsidP="004B4257">
      <w:pPr>
        <w:pStyle w:val="SingleTxtGA"/>
        <w:rPr>
          <w:rtl/>
          <w:lang w:eastAsia="zh-TW"/>
        </w:rPr>
      </w:pPr>
      <w:r w:rsidRPr="002721E7">
        <w:rPr>
          <w:rFonts w:hint="cs"/>
          <w:rtl/>
          <w:lang w:eastAsia="zh-TW"/>
        </w:rPr>
        <w:tab/>
      </w:r>
      <w:r w:rsidRPr="002721E7">
        <w:rPr>
          <w:rtl/>
          <w:lang w:eastAsia="zh-TW"/>
        </w:rPr>
        <w:t>(ه)</w:t>
      </w:r>
      <w:r w:rsidRPr="002721E7">
        <w:rPr>
          <w:rFonts w:hint="cs"/>
          <w:rtl/>
          <w:lang w:eastAsia="zh-TW"/>
        </w:rPr>
        <w:tab/>
      </w:r>
      <w:r w:rsidRPr="002721E7">
        <w:rPr>
          <w:rtl/>
          <w:lang w:eastAsia="zh-TW"/>
        </w:rPr>
        <w:t>إذا شكّل سلب الحرية انتهاكاً للقانون الدولي بسبب التمييز على أساس المولد، أو الأصل القومي أو </w:t>
      </w:r>
      <w:proofErr w:type="spellStart"/>
      <w:r w:rsidRPr="002721E7">
        <w:rPr>
          <w:rtl/>
          <w:lang w:eastAsia="zh-TW"/>
        </w:rPr>
        <w:t>الإثني</w:t>
      </w:r>
      <w:proofErr w:type="spellEnd"/>
      <w:r w:rsidRPr="002721E7">
        <w:rPr>
          <w:rtl/>
          <w:lang w:eastAsia="zh-TW"/>
        </w:rPr>
        <w:t xml:space="preserve"> أو الاجتماعي، أو اللغة، أو الدين، أو الوضع الاقتصادي، أو الرأي السياسي أو غيره، أو </w:t>
      </w:r>
      <w:r w:rsidRPr="002721E7">
        <w:rPr>
          <w:rFonts w:hint="cs"/>
          <w:rtl/>
          <w:lang w:eastAsia="zh-TW"/>
        </w:rPr>
        <w:t>الهوية الجنسانية</w:t>
      </w:r>
      <w:r w:rsidRPr="002721E7">
        <w:rPr>
          <w:rtl/>
          <w:lang w:eastAsia="zh-TW"/>
        </w:rPr>
        <w:t>، أو الميل الجنسي، أو الإعاقة</w:t>
      </w:r>
      <w:r w:rsidRPr="002721E7">
        <w:rPr>
          <w:rFonts w:hint="cs"/>
          <w:rtl/>
          <w:lang w:eastAsia="zh-TW"/>
        </w:rPr>
        <w:t>،</w:t>
      </w:r>
      <w:r w:rsidRPr="002721E7">
        <w:rPr>
          <w:rtl/>
          <w:lang w:eastAsia="zh-TW"/>
        </w:rPr>
        <w:t xml:space="preserve"> أو أي وضع آخر، على نحو يهدف إلى تجاهل المساواة </w:t>
      </w:r>
      <w:r w:rsidRPr="002721E7">
        <w:rPr>
          <w:rFonts w:hint="cs"/>
          <w:rtl/>
          <w:lang w:eastAsia="zh-TW"/>
        </w:rPr>
        <w:t>بين البشر</w:t>
      </w:r>
      <w:r w:rsidRPr="002721E7">
        <w:rPr>
          <w:rtl/>
          <w:lang w:eastAsia="zh-TW"/>
        </w:rPr>
        <w:t xml:space="preserve"> أو قد يؤدي إلى ذلك (الفئة الخامسة).</w:t>
      </w:r>
    </w:p>
    <w:p w:rsidR="004B4257" w:rsidRPr="002721E7" w:rsidRDefault="004B4257" w:rsidP="004B4257">
      <w:pPr>
        <w:pStyle w:val="H23GA"/>
        <w:rPr>
          <w:rtl/>
        </w:rPr>
      </w:pPr>
      <w:r w:rsidRPr="002721E7">
        <w:rPr>
          <w:rtl/>
        </w:rPr>
        <w:tab/>
      </w:r>
      <w:r w:rsidRPr="002721E7">
        <w:rPr>
          <w:rtl/>
        </w:rPr>
        <w:tab/>
      </w:r>
      <w:r w:rsidRPr="002721E7">
        <w:rPr>
          <w:rFonts w:hint="cs"/>
          <w:rtl/>
        </w:rPr>
        <w:t>المعلومات الواردة</w:t>
      </w:r>
    </w:p>
    <w:p w:rsidR="004B4257" w:rsidRPr="002721E7" w:rsidRDefault="004B4257" w:rsidP="004B4257">
      <w:pPr>
        <w:pStyle w:val="H4GA"/>
        <w:rPr>
          <w:rtl/>
          <w:lang w:eastAsia="zh-TW"/>
        </w:rPr>
      </w:pPr>
      <w:r w:rsidRPr="002721E7">
        <w:rPr>
          <w:rtl/>
          <w:lang w:eastAsia="zh-TW"/>
        </w:rPr>
        <w:tab/>
      </w:r>
      <w:r w:rsidRPr="002721E7">
        <w:rPr>
          <w:rtl/>
          <w:lang w:eastAsia="zh-TW"/>
        </w:rPr>
        <w:tab/>
        <w:t>البلاغ الوارد من المصدر</w:t>
      </w:r>
    </w:p>
    <w:p w:rsidR="004B4257" w:rsidRPr="002721E7" w:rsidRDefault="004B4257" w:rsidP="004B4257">
      <w:pPr>
        <w:pStyle w:val="H4GA"/>
        <w:rPr>
          <w:rtl/>
          <w:lang w:eastAsia="zh-TW" w:bidi="ar-DZ"/>
        </w:rPr>
      </w:pPr>
      <w:r w:rsidRPr="002721E7">
        <w:rPr>
          <w:rtl/>
          <w:lang w:eastAsia="zh-TW"/>
        </w:rPr>
        <w:tab/>
      </w:r>
      <w:r w:rsidRPr="002721E7">
        <w:rPr>
          <w:rtl/>
          <w:lang w:eastAsia="zh-TW"/>
        </w:rPr>
        <w:tab/>
        <w:t>رد الحكومة</w:t>
      </w:r>
    </w:p>
    <w:p w:rsidR="004B4257" w:rsidRPr="002F765F" w:rsidRDefault="004B4257" w:rsidP="004B4257">
      <w:pPr>
        <w:pStyle w:val="H23GA"/>
        <w:rPr>
          <w:b w:val="0"/>
          <w:bCs w:val="0"/>
          <w:rtl/>
        </w:rPr>
      </w:pPr>
      <w:r w:rsidRPr="002721E7">
        <w:rPr>
          <w:rFonts w:hint="cs"/>
          <w:rtl/>
        </w:rPr>
        <w:tab/>
      </w:r>
      <w:r w:rsidRPr="002721E7">
        <w:rPr>
          <w:rFonts w:hint="cs"/>
          <w:rtl/>
        </w:rPr>
        <w:tab/>
      </w:r>
      <w:r w:rsidRPr="002721E7">
        <w:rPr>
          <w:rtl/>
        </w:rPr>
        <w:t>المناقشة</w:t>
      </w:r>
      <w:r w:rsidRPr="002721E7">
        <w:rPr>
          <w:rFonts w:hint="cs"/>
          <w:rtl/>
        </w:rPr>
        <w:t xml:space="preserve"> </w:t>
      </w:r>
      <w:r w:rsidRPr="002F765F">
        <w:rPr>
          <w:rFonts w:hint="cs"/>
          <w:b w:val="0"/>
          <w:bCs w:val="0"/>
          <w:rtl/>
        </w:rPr>
        <w:t>[[لا تدرَج الفقرتان أدناه إلا عند انطباق الفقرة 15 من أساليب العمل]]</w:t>
      </w:r>
    </w:p>
    <w:p w:rsidR="004B4257" w:rsidRPr="002721E7" w:rsidRDefault="004B4257" w:rsidP="004B4257">
      <w:pPr>
        <w:pStyle w:val="SingleTxtGA"/>
        <w:rPr>
          <w:rtl/>
          <w:lang w:eastAsia="zh-TW"/>
        </w:rPr>
      </w:pPr>
      <w:r w:rsidRPr="002721E7">
        <w:rPr>
          <w:color w:val="FF0000"/>
          <w:sz w:val="12"/>
          <w:szCs w:val="22"/>
          <w:rtl/>
          <w:lang w:eastAsia="zh-TW"/>
        </w:rPr>
        <w:t>##</w:t>
      </w:r>
      <w:r w:rsidRPr="002721E7">
        <w:rPr>
          <w:rFonts w:hint="cs"/>
          <w:rtl/>
          <w:lang w:eastAsia="zh-TW"/>
        </w:rPr>
        <w:t>-</w:t>
      </w:r>
      <w:r w:rsidRPr="002721E7">
        <w:rPr>
          <w:rFonts w:hint="cs"/>
          <w:color w:val="FF0000"/>
          <w:rtl/>
          <w:lang w:eastAsia="zh-TW"/>
        </w:rPr>
        <w:tab/>
      </w:r>
      <w:r w:rsidRPr="002721E7">
        <w:rPr>
          <w:rFonts w:hint="cs"/>
          <w:rtl/>
          <w:lang w:eastAsia="zh-TW"/>
        </w:rPr>
        <w:t xml:space="preserve">نظراً لعدم ورود </w:t>
      </w:r>
      <w:r w:rsidRPr="002721E7">
        <w:rPr>
          <w:rtl/>
          <w:lang w:eastAsia="zh-TW"/>
        </w:rPr>
        <w:t xml:space="preserve">رد من الحكومة، قرر الفريق العامل </w:t>
      </w:r>
      <w:r w:rsidRPr="002721E7">
        <w:rPr>
          <w:rFonts w:hint="cs"/>
          <w:rtl/>
          <w:lang w:eastAsia="zh-TW"/>
        </w:rPr>
        <w:t>إصدار</w:t>
      </w:r>
      <w:r w:rsidRPr="002721E7">
        <w:rPr>
          <w:rtl/>
          <w:lang w:eastAsia="zh-TW"/>
        </w:rPr>
        <w:t xml:space="preserve"> هذا الرأي، وفقاً للفقرة 15 من أساليب عمله.</w:t>
      </w:r>
    </w:p>
    <w:p w:rsidR="004B4257" w:rsidRPr="002721E7" w:rsidRDefault="004B4257" w:rsidP="004B4257">
      <w:pPr>
        <w:pStyle w:val="SingleTxtGA"/>
        <w:rPr>
          <w:rtl/>
          <w:lang w:eastAsia="zh-TW"/>
        </w:rPr>
      </w:pPr>
      <w:r w:rsidRPr="002721E7">
        <w:rPr>
          <w:color w:val="FF0000"/>
          <w:sz w:val="12"/>
          <w:szCs w:val="22"/>
          <w:rtl/>
          <w:lang w:eastAsia="zh-TW"/>
        </w:rPr>
        <w:t>##</w:t>
      </w:r>
      <w:r w:rsidRPr="002721E7">
        <w:rPr>
          <w:rFonts w:hint="cs"/>
          <w:rtl/>
          <w:lang w:eastAsia="zh-TW"/>
        </w:rPr>
        <w:t>-</w:t>
      </w:r>
      <w:r w:rsidRPr="002721E7">
        <w:rPr>
          <w:rFonts w:hint="cs"/>
          <w:color w:val="FF0000"/>
          <w:rtl/>
          <w:lang w:eastAsia="zh-TW"/>
        </w:rPr>
        <w:tab/>
      </w:r>
      <w:r w:rsidRPr="002721E7">
        <w:rPr>
          <w:rtl/>
          <w:lang w:eastAsia="zh-TW"/>
        </w:rPr>
        <w:t xml:space="preserve">وقد </w:t>
      </w:r>
      <w:r w:rsidRPr="002721E7">
        <w:rPr>
          <w:rFonts w:hint="cs"/>
          <w:rtl/>
          <w:lang w:eastAsia="zh-TW"/>
        </w:rPr>
        <w:t>أرسى</w:t>
      </w:r>
      <w:r w:rsidRPr="002721E7">
        <w:rPr>
          <w:rtl/>
          <w:lang w:eastAsia="zh-TW"/>
        </w:rPr>
        <w:t xml:space="preserve"> الفريق العامل، في اجتهاداته، طرق </w:t>
      </w:r>
      <w:r w:rsidRPr="002721E7">
        <w:rPr>
          <w:rFonts w:hint="cs"/>
          <w:rtl/>
          <w:lang w:eastAsia="zh-TW"/>
        </w:rPr>
        <w:t xml:space="preserve">تناوله </w:t>
      </w:r>
      <w:r w:rsidRPr="002721E7">
        <w:rPr>
          <w:rtl/>
          <w:lang w:eastAsia="zh-TW"/>
        </w:rPr>
        <w:t xml:space="preserve">المسائل المتعلقة </w:t>
      </w:r>
      <w:r w:rsidRPr="002721E7">
        <w:rPr>
          <w:rFonts w:hint="cs"/>
          <w:rtl/>
          <w:lang w:eastAsia="zh-TW"/>
        </w:rPr>
        <w:t>بالإثبات</w:t>
      </w:r>
      <w:r w:rsidRPr="002721E7">
        <w:rPr>
          <w:rtl/>
          <w:lang w:eastAsia="zh-TW"/>
        </w:rPr>
        <w:t xml:space="preserve">. فإذا </w:t>
      </w:r>
      <w:r w:rsidRPr="002721E7">
        <w:rPr>
          <w:rFonts w:hint="cs"/>
          <w:rtl/>
          <w:lang w:eastAsia="zh-TW"/>
        </w:rPr>
        <w:t>أقام</w:t>
      </w:r>
      <w:r w:rsidRPr="002721E7">
        <w:rPr>
          <w:rtl/>
          <w:lang w:eastAsia="zh-TW"/>
        </w:rPr>
        <w:t xml:space="preserve"> المصدر </w:t>
      </w:r>
      <w:r w:rsidRPr="002721E7">
        <w:rPr>
          <w:rFonts w:hint="cs"/>
          <w:rtl/>
          <w:lang w:eastAsia="zh-TW"/>
        </w:rPr>
        <w:t>دليلاً</w:t>
      </w:r>
      <w:r w:rsidRPr="002721E7">
        <w:rPr>
          <w:rtl/>
          <w:lang w:eastAsia="zh-TW"/>
        </w:rPr>
        <w:t xml:space="preserve"> </w:t>
      </w:r>
      <w:r w:rsidRPr="002721E7">
        <w:rPr>
          <w:rFonts w:hint="cs"/>
          <w:rtl/>
          <w:lang w:eastAsia="zh-TW"/>
        </w:rPr>
        <w:t>بيِّناً</w:t>
      </w:r>
      <w:r w:rsidRPr="002721E7">
        <w:rPr>
          <w:rtl/>
          <w:lang w:eastAsia="zh-TW"/>
        </w:rPr>
        <w:t xml:space="preserve"> </w:t>
      </w:r>
      <w:r w:rsidRPr="002721E7">
        <w:rPr>
          <w:rFonts w:hint="cs"/>
          <w:rtl/>
          <w:lang w:eastAsia="zh-TW"/>
        </w:rPr>
        <w:t xml:space="preserve">على وجود </w:t>
      </w:r>
      <w:r w:rsidRPr="002721E7">
        <w:rPr>
          <w:rtl/>
          <w:lang w:eastAsia="zh-TW"/>
        </w:rPr>
        <w:t xml:space="preserve">إخلال </w:t>
      </w:r>
      <w:r w:rsidRPr="002721E7">
        <w:rPr>
          <w:rFonts w:hint="cs"/>
          <w:rtl/>
          <w:lang w:eastAsia="zh-TW"/>
        </w:rPr>
        <w:t>بالمقتضيات</w:t>
      </w:r>
      <w:r w:rsidRPr="002721E7">
        <w:rPr>
          <w:rtl/>
          <w:lang w:eastAsia="zh-TW"/>
        </w:rPr>
        <w:t xml:space="preserve"> الدولية </w:t>
      </w:r>
      <w:r w:rsidRPr="002721E7">
        <w:rPr>
          <w:rFonts w:hint="cs"/>
          <w:rtl/>
          <w:lang w:eastAsia="zh-TW"/>
        </w:rPr>
        <w:t>ي</w:t>
      </w:r>
      <w:r w:rsidRPr="002721E7">
        <w:rPr>
          <w:rtl/>
          <w:lang w:eastAsia="zh-TW"/>
        </w:rPr>
        <w:t xml:space="preserve">شكل احتجازاً تعسفياً، </w:t>
      </w:r>
      <w:r w:rsidRPr="002721E7">
        <w:rPr>
          <w:rFonts w:hint="cs"/>
          <w:rtl/>
          <w:lang w:eastAsia="zh-TW"/>
        </w:rPr>
        <w:t xml:space="preserve">وقع </w:t>
      </w:r>
      <w:r w:rsidRPr="002721E7">
        <w:rPr>
          <w:rtl/>
          <w:lang w:eastAsia="zh-TW"/>
        </w:rPr>
        <w:t>عبء الإثبات على الحكومة إن</w:t>
      </w:r>
      <w:r w:rsidRPr="002721E7">
        <w:rPr>
          <w:rFonts w:hint="cs"/>
          <w:rtl/>
          <w:lang w:eastAsia="zh-TW"/>
        </w:rPr>
        <w:t xml:space="preserve"> هي</w:t>
      </w:r>
      <w:r w:rsidRPr="002721E7">
        <w:rPr>
          <w:rtl/>
          <w:lang w:eastAsia="zh-TW"/>
        </w:rPr>
        <w:t xml:space="preserve"> أرادت دحض الادعاءات (انظر </w:t>
      </w:r>
      <w:r w:rsidRPr="002721E7">
        <w:rPr>
          <w:szCs w:val="20"/>
          <w:lang w:eastAsia="zh-TW"/>
        </w:rPr>
        <w:t>A/HRC/19/57</w:t>
      </w:r>
      <w:r w:rsidRPr="002721E7">
        <w:rPr>
          <w:rtl/>
          <w:lang w:eastAsia="zh-TW"/>
        </w:rPr>
        <w:t>، الفقرة</w:t>
      </w:r>
      <w:r w:rsidRPr="002721E7">
        <w:rPr>
          <w:rFonts w:hint="cs"/>
          <w:rtl/>
          <w:lang w:eastAsia="zh-TW"/>
        </w:rPr>
        <w:t> </w:t>
      </w:r>
      <w:r w:rsidRPr="002721E7">
        <w:rPr>
          <w:rtl/>
          <w:lang w:eastAsia="zh-TW"/>
        </w:rPr>
        <w:t>68). وفي </w:t>
      </w:r>
      <w:r w:rsidRPr="002721E7">
        <w:rPr>
          <w:rFonts w:hint="cs"/>
          <w:rtl/>
          <w:lang w:eastAsia="zh-TW"/>
        </w:rPr>
        <w:t>هذه القضية</w:t>
      </w:r>
      <w:r w:rsidRPr="002721E7">
        <w:rPr>
          <w:rtl/>
          <w:lang w:eastAsia="zh-TW"/>
        </w:rPr>
        <w:t>، اختارت الحكومة ألا تطعن فيما </w:t>
      </w:r>
      <w:r w:rsidRPr="002721E7">
        <w:rPr>
          <w:rFonts w:hint="cs"/>
          <w:rtl/>
          <w:lang w:eastAsia="zh-TW"/>
        </w:rPr>
        <w:t xml:space="preserve">قدمه </w:t>
      </w:r>
      <w:r w:rsidRPr="002721E7">
        <w:rPr>
          <w:rtl/>
          <w:lang w:eastAsia="zh-TW"/>
        </w:rPr>
        <w:t xml:space="preserve">المصدر </w:t>
      </w:r>
      <w:r w:rsidRPr="002721E7">
        <w:rPr>
          <w:rFonts w:hint="cs"/>
          <w:rtl/>
          <w:lang w:eastAsia="zh-TW"/>
        </w:rPr>
        <w:t xml:space="preserve">من </w:t>
      </w:r>
      <w:r w:rsidRPr="002721E7">
        <w:rPr>
          <w:rtl/>
          <w:lang w:eastAsia="zh-TW"/>
        </w:rPr>
        <w:t xml:space="preserve">ادعاءات </w:t>
      </w:r>
      <w:r w:rsidRPr="002721E7">
        <w:rPr>
          <w:rFonts w:hint="cs"/>
          <w:rtl/>
          <w:lang w:eastAsia="zh-TW"/>
        </w:rPr>
        <w:t>ذات مصداقية بيِّنة</w:t>
      </w:r>
      <w:r w:rsidRPr="002721E7">
        <w:rPr>
          <w:rtl/>
          <w:lang w:eastAsia="zh-TW"/>
        </w:rPr>
        <w:t>.</w:t>
      </w:r>
    </w:p>
    <w:p w:rsidR="004B4257" w:rsidRPr="002721E7" w:rsidRDefault="004B4257" w:rsidP="004B4257">
      <w:pPr>
        <w:pStyle w:val="H23GA"/>
      </w:pPr>
      <w:r w:rsidRPr="002721E7">
        <w:rPr>
          <w:rtl/>
        </w:rPr>
        <w:tab/>
      </w:r>
      <w:r w:rsidRPr="002721E7">
        <w:rPr>
          <w:rtl/>
        </w:rPr>
        <w:tab/>
      </w:r>
      <w:r w:rsidRPr="002721E7">
        <w:rPr>
          <w:rFonts w:hint="cs"/>
          <w:rtl/>
        </w:rPr>
        <w:t>القرار</w:t>
      </w:r>
    </w:p>
    <w:p w:rsidR="004B4257" w:rsidRPr="002721E7" w:rsidRDefault="004B4257" w:rsidP="004B4257">
      <w:pPr>
        <w:pStyle w:val="SingleTxtGA"/>
        <w:rPr>
          <w:rtl/>
          <w:lang w:eastAsia="zh-TW"/>
        </w:rPr>
      </w:pPr>
      <w:r w:rsidRPr="002721E7">
        <w:rPr>
          <w:color w:val="FF0000"/>
          <w:sz w:val="12"/>
          <w:szCs w:val="22"/>
          <w:rtl/>
          <w:lang w:eastAsia="zh-TW"/>
        </w:rPr>
        <w:t>##</w:t>
      </w:r>
      <w:r w:rsidRPr="002721E7">
        <w:rPr>
          <w:rFonts w:hint="cs"/>
          <w:rtl/>
          <w:lang w:eastAsia="zh-TW"/>
        </w:rPr>
        <w:t>-</w:t>
      </w:r>
      <w:r w:rsidRPr="002721E7">
        <w:rPr>
          <w:rFonts w:hint="cs"/>
          <w:color w:val="FF0000"/>
          <w:rtl/>
          <w:lang w:eastAsia="zh-TW"/>
        </w:rPr>
        <w:tab/>
      </w:r>
      <w:r w:rsidRPr="002721E7">
        <w:rPr>
          <w:rtl/>
          <w:lang w:eastAsia="zh-TW"/>
        </w:rPr>
        <w:t>في ضوء ما تقدم، يصدر الفريق العامل الرأي التالي:</w:t>
      </w:r>
    </w:p>
    <w:p w:rsidR="004B4257" w:rsidRPr="002721E7" w:rsidRDefault="004B4257" w:rsidP="004B4257">
      <w:pPr>
        <w:pStyle w:val="SingleTxtGA"/>
        <w:ind w:left="1928"/>
        <w:rPr>
          <w:rtl/>
          <w:lang w:eastAsia="zh-TW"/>
        </w:rPr>
      </w:pPr>
      <w:r w:rsidRPr="002721E7">
        <w:rPr>
          <w:rFonts w:hint="cs"/>
          <w:rtl/>
          <w:lang w:eastAsia="zh-TW"/>
        </w:rPr>
        <w:tab/>
      </w:r>
      <w:r w:rsidRPr="002721E7">
        <w:rPr>
          <w:rtl/>
          <w:lang w:eastAsia="zh-TW"/>
        </w:rPr>
        <w:t xml:space="preserve">إن سلب </w:t>
      </w:r>
      <w:r w:rsidRPr="002721E7">
        <w:rPr>
          <w:color w:val="FF0000"/>
          <w:rtl/>
          <w:lang w:eastAsia="zh-TW"/>
        </w:rPr>
        <w:t>الشخص</w:t>
      </w:r>
      <w:r w:rsidRPr="002721E7">
        <w:rPr>
          <w:rtl/>
          <w:lang w:eastAsia="zh-TW"/>
        </w:rPr>
        <w:t xml:space="preserve"> حريته، إذ يخالف المواد </w:t>
      </w:r>
      <w:r w:rsidRPr="002721E7">
        <w:rPr>
          <w:color w:val="FF0000"/>
          <w:rtl/>
          <w:lang w:eastAsia="zh-TW"/>
        </w:rPr>
        <w:t>[...]</w:t>
      </w:r>
      <w:r w:rsidRPr="002721E7">
        <w:rPr>
          <w:rtl/>
          <w:lang w:eastAsia="zh-TW"/>
        </w:rPr>
        <w:t xml:space="preserve"> من الإعلان العالمي لحقوق الإنسان والمواد </w:t>
      </w:r>
      <w:r w:rsidRPr="002721E7">
        <w:rPr>
          <w:color w:val="FF0000"/>
          <w:rtl/>
          <w:lang w:eastAsia="zh-TW"/>
        </w:rPr>
        <w:t>[...]</w:t>
      </w:r>
      <w:r w:rsidRPr="002721E7">
        <w:rPr>
          <w:rtl/>
          <w:lang w:eastAsia="zh-TW"/>
        </w:rPr>
        <w:t xml:space="preserve"> من العهد الدولي الخاص بالحقوق المدنية والسياسية، هو إجراء تعسفي يندرج ضمن </w:t>
      </w:r>
      <w:r w:rsidRPr="002721E7">
        <w:rPr>
          <w:color w:val="FF0000"/>
          <w:rtl/>
          <w:lang w:eastAsia="zh-TW"/>
        </w:rPr>
        <w:t>[الفئة</w:t>
      </w:r>
      <w:r w:rsidRPr="002721E7">
        <w:rPr>
          <w:rFonts w:hint="cs"/>
          <w:color w:val="FF0000"/>
          <w:rtl/>
          <w:lang w:eastAsia="zh-TW"/>
        </w:rPr>
        <w:t xml:space="preserve"> </w:t>
      </w:r>
      <w:r w:rsidRPr="002721E7">
        <w:rPr>
          <w:color w:val="FF0000"/>
          <w:rtl/>
          <w:lang w:eastAsia="zh-TW"/>
        </w:rPr>
        <w:t xml:space="preserve">...] </w:t>
      </w:r>
      <w:r w:rsidRPr="002721E7">
        <w:rPr>
          <w:rFonts w:hint="cs"/>
          <w:color w:val="FF0000"/>
          <w:rtl/>
          <w:lang w:eastAsia="zh-TW"/>
        </w:rPr>
        <w:t xml:space="preserve">[الفئتين] </w:t>
      </w:r>
      <w:r w:rsidRPr="002721E7">
        <w:rPr>
          <w:color w:val="FF0000"/>
          <w:rtl/>
          <w:lang w:eastAsia="zh-TW"/>
        </w:rPr>
        <w:t>[الفئات</w:t>
      </w:r>
      <w:r w:rsidRPr="002721E7">
        <w:rPr>
          <w:rFonts w:hint="cs"/>
          <w:color w:val="FF0000"/>
          <w:rtl/>
          <w:lang w:eastAsia="zh-TW"/>
        </w:rPr>
        <w:t xml:space="preserve"> </w:t>
      </w:r>
      <w:r w:rsidRPr="002721E7">
        <w:rPr>
          <w:color w:val="FF0000"/>
          <w:rtl/>
          <w:lang w:eastAsia="zh-TW"/>
        </w:rPr>
        <w:t>...]</w:t>
      </w:r>
      <w:r w:rsidRPr="002721E7">
        <w:rPr>
          <w:rtl/>
          <w:lang w:eastAsia="zh-TW"/>
        </w:rPr>
        <w:t>.</w:t>
      </w:r>
    </w:p>
    <w:p w:rsidR="004B4257" w:rsidRPr="002721E7" w:rsidRDefault="004B4257" w:rsidP="004B4257">
      <w:pPr>
        <w:pStyle w:val="SingleTxtGA"/>
        <w:rPr>
          <w:sz w:val="28"/>
          <w:szCs w:val="38"/>
          <w:rtl/>
          <w:lang w:eastAsia="zh-TW"/>
        </w:rPr>
      </w:pPr>
      <w:r w:rsidRPr="002721E7">
        <w:rPr>
          <w:color w:val="FF0000"/>
          <w:sz w:val="12"/>
          <w:szCs w:val="22"/>
          <w:rtl/>
          <w:lang w:eastAsia="zh-TW"/>
        </w:rPr>
        <w:t>##</w:t>
      </w:r>
      <w:r w:rsidRPr="002721E7">
        <w:rPr>
          <w:rtl/>
          <w:lang w:eastAsia="zh-TW"/>
        </w:rPr>
        <w:t>-</w:t>
      </w:r>
      <w:r w:rsidRPr="002721E7">
        <w:rPr>
          <w:color w:val="FF0000"/>
          <w:rtl/>
        </w:rPr>
        <w:tab/>
      </w:r>
      <w:r w:rsidRPr="002721E7">
        <w:rPr>
          <w:rtl/>
          <w:lang w:eastAsia="zh-TW"/>
        </w:rPr>
        <w:t xml:space="preserve">ويطلب الفريق العامل إلى حكومة </w:t>
      </w:r>
      <w:r w:rsidRPr="002721E7">
        <w:rPr>
          <w:color w:val="FF0000"/>
          <w:rtl/>
          <w:lang w:eastAsia="zh-TW"/>
        </w:rPr>
        <w:t xml:space="preserve">البلد </w:t>
      </w:r>
      <w:r w:rsidRPr="002721E7">
        <w:rPr>
          <w:rtl/>
          <w:lang w:eastAsia="zh-TW"/>
        </w:rPr>
        <w:t xml:space="preserve">اتخاذ الخطوات اللازمة لتصحيح وضع </w:t>
      </w:r>
      <w:r w:rsidRPr="002721E7">
        <w:rPr>
          <w:color w:val="FF0000"/>
          <w:rtl/>
          <w:lang w:eastAsia="zh-TW"/>
        </w:rPr>
        <w:t xml:space="preserve">الشخص </w:t>
      </w:r>
      <w:r w:rsidRPr="002721E7">
        <w:rPr>
          <w:rtl/>
          <w:lang w:eastAsia="zh-TW"/>
        </w:rPr>
        <w:t xml:space="preserve">دون إبطاء وجعله متوافقاً مع المعايير الدولية </w:t>
      </w:r>
      <w:r w:rsidRPr="002721E7">
        <w:rPr>
          <w:rFonts w:hint="cs"/>
          <w:rtl/>
          <w:lang w:val="fr-CH" w:eastAsia="zh-TW"/>
        </w:rPr>
        <w:t>ذات الصلة</w:t>
      </w:r>
      <w:r w:rsidRPr="002721E7">
        <w:rPr>
          <w:rtl/>
          <w:lang w:eastAsia="zh-TW"/>
        </w:rPr>
        <w:t>، بما في</w:t>
      </w:r>
      <w:r w:rsidRPr="002721E7">
        <w:rPr>
          <w:rFonts w:hint="cs"/>
          <w:rtl/>
          <w:lang w:eastAsia="zh-TW"/>
        </w:rPr>
        <w:t>ها</w:t>
      </w:r>
      <w:r w:rsidRPr="002721E7">
        <w:rPr>
          <w:rtl/>
          <w:lang w:eastAsia="zh-TW"/>
        </w:rPr>
        <w:t xml:space="preserve"> </w:t>
      </w:r>
      <w:r w:rsidRPr="002721E7">
        <w:rPr>
          <w:rFonts w:hint="cs"/>
          <w:rtl/>
          <w:lang w:eastAsia="zh-TW"/>
        </w:rPr>
        <w:t>المعايير الواردة في</w:t>
      </w:r>
      <w:r w:rsidRPr="002721E7">
        <w:rPr>
          <w:rtl/>
          <w:lang w:eastAsia="zh-TW"/>
        </w:rPr>
        <w:t xml:space="preserve"> الإعلان العالمي لحقوق الإنسان </w:t>
      </w:r>
      <w:r w:rsidRPr="002721E7">
        <w:rPr>
          <w:color w:val="FF0000"/>
          <w:rtl/>
          <w:lang w:eastAsia="zh-TW"/>
        </w:rPr>
        <w:t>[</w:t>
      </w:r>
      <w:r w:rsidRPr="002721E7">
        <w:rPr>
          <w:rtl/>
          <w:lang w:eastAsia="zh-TW"/>
        </w:rPr>
        <w:t>والعهد الدولي الخاص بالحقوق المدنية والسياسية</w:t>
      </w:r>
      <w:r w:rsidRPr="002721E7">
        <w:rPr>
          <w:rFonts w:hint="cs"/>
          <w:color w:val="FF0000"/>
          <w:rtl/>
          <w:lang w:val="fr-CH" w:eastAsia="zh-TW"/>
        </w:rPr>
        <w:t>]</w:t>
      </w:r>
      <w:r w:rsidRPr="002721E7">
        <w:rPr>
          <w:rtl/>
          <w:lang w:val="fr-CH" w:eastAsia="zh-TW"/>
        </w:rPr>
        <w:t>.</w:t>
      </w:r>
    </w:p>
    <w:p w:rsidR="004B4257" w:rsidRPr="002721E7" w:rsidRDefault="004B4257" w:rsidP="004B4257">
      <w:pPr>
        <w:pStyle w:val="SingleTxtGA"/>
        <w:rPr>
          <w:rtl/>
          <w:lang w:eastAsia="zh-TW"/>
        </w:rPr>
      </w:pPr>
      <w:r w:rsidRPr="002721E7">
        <w:rPr>
          <w:color w:val="FF0000"/>
          <w:sz w:val="12"/>
          <w:szCs w:val="22"/>
          <w:rtl/>
          <w:lang w:eastAsia="zh-TW"/>
        </w:rPr>
        <w:t>##</w:t>
      </w:r>
      <w:r w:rsidRPr="002721E7">
        <w:rPr>
          <w:rFonts w:hint="cs"/>
          <w:sz w:val="16"/>
          <w:szCs w:val="26"/>
          <w:rtl/>
          <w:lang w:eastAsia="zh-TW"/>
        </w:rPr>
        <w:t>-</w:t>
      </w:r>
      <w:r w:rsidRPr="002721E7">
        <w:rPr>
          <w:rFonts w:hint="cs"/>
          <w:rtl/>
          <w:lang w:eastAsia="zh-TW"/>
        </w:rPr>
        <w:tab/>
      </w:r>
      <w:r w:rsidRPr="002721E7">
        <w:rPr>
          <w:rtl/>
        </w:rPr>
        <w:t xml:space="preserve">ويرى الفريق العامل، آخذاً في حسبانه جميع ملابسات القضية، أن سبيل الانتصاف المناسب يتمثل في </w:t>
      </w:r>
      <w:r w:rsidRPr="002721E7">
        <w:rPr>
          <w:color w:val="FF0000"/>
          <w:rtl/>
        </w:rPr>
        <w:t>[</w:t>
      </w:r>
      <w:r w:rsidRPr="002721E7">
        <w:rPr>
          <w:rtl/>
        </w:rPr>
        <w:t xml:space="preserve">الإفراج الفوري عن </w:t>
      </w:r>
      <w:r w:rsidRPr="002721E7">
        <w:rPr>
          <w:color w:val="FF0000"/>
          <w:rtl/>
        </w:rPr>
        <w:t xml:space="preserve">الشخص </w:t>
      </w:r>
      <w:r w:rsidRPr="002721E7">
        <w:rPr>
          <w:rtl/>
        </w:rPr>
        <w:t>و</w:t>
      </w:r>
      <w:r w:rsidRPr="002721E7">
        <w:rPr>
          <w:color w:val="FF0000"/>
          <w:rtl/>
        </w:rPr>
        <w:t>]</w:t>
      </w:r>
      <w:r w:rsidRPr="002721E7">
        <w:rPr>
          <w:rFonts w:hint="cs"/>
          <w:rtl/>
        </w:rPr>
        <w:t xml:space="preserve"> </w:t>
      </w:r>
      <w:r w:rsidRPr="002721E7">
        <w:rPr>
          <w:color w:val="FF0000"/>
          <w:rtl/>
        </w:rPr>
        <w:t xml:space="preserve">[منحه] [منحها] </w:t>
      </w:r>
      <w:r w:rsidRPr="002721E7">
        <w:rPr>
          <w:rFonts w:hint="cs"/>
          <w:color w:val="FF0000"/>
          <w:rtl/>
        </w:rPr>
        <w:t xml:space="preserve">[منحهما] [منحهم] [منحهن] </w:t>
      </w:r>
      <w:r w:rsidRPr="002721E7">
        <w:rPr>
          <w:color w:val="FF0000"/>
          <w:rtl/>
        </w:rPr>
        <w:t xml:space="preserve">[منح </w:t>
      </w:r>
      <w:r w:rsidRPr="002721E7">
        <w:rPr>
          <w:rFonts w:hint="eastAsia"/>
          <w:color w:val="FF0000"/>
          <w:rtl/>
        </w:rPr>
        <w:t>الشخص</w:t>
      </w:r>
      <w:r w:rsidRPr="002721E7">
        <w:rPr>
          <w:color w:val="FF0000"/>
          <w:rtl/>
        </w:rPr>
        <w:t>]</w:t>
      </w:r>
      <w:r w:rsidRPr="002721E7">
        <w:rPr>
          <w:rtl/>
        </w:rPr>
        <w:t xml:space="preserve"> حقاً واجب الإنفاذ في </w:t>
      </w:r>
      <w:r w:rsidRPr="002721E7">
        <w:rPr>
          <w:rFonts w:hint="cs"/>
          <w:rtl/>
        </w:rPr>
        <w:t>ال</w:t>
      </w:r>
      <w:r w:rsidRPr="002721E7">
        <w:rPr>
          <w:rtl/>
        </w:rPr>
        <w:t>تعويض وغيره من أشكال جبر الضرر، وفقاً للقانون الدولي</w:t>
      </w:r>
      <w:r w:rsidRPr="002721E7">
        <w:t>.</w:t>
      </w:r>
    </w:p>
    <w:p w:rsidR="004B4257" w:rsidRPr="002721E7" w:rsidRDefault="004B4257" w:rsidP="004B4257">
      <w:pPr>
        <w:pStyle w:val="SingleTxtGA"/>
        <w:rPr>
          <w:rtl/>
          <w:lang w:eastAsia="zh-TW"/>
        </w:rPr>
      </w:pPr>
      <w:r w:rsidRPr="002721E7">
        <w:rPr>
          <w:color w:val="FF0000"/>
          <w:sz w:val="12"/>
          <w:szCs w:val="22"/>
          <w:rtl/>
          <w:lang w:eastAsia="zh-TW"/>
        </w:rPr>
        <w:lastRenderedPageBreak/>
        <w:t>##</w:t>
      </w:r>
      <w:r w:rsidRPr="002721E7">
        <w:rPr>
          <w:rFonts w:hint="cs"/>
          <w:sz w:val="16"/>
          <w:szCs w:val="26"/>
          <w:rtl/>
          <w:lang w:eastAsia="zh-TW"/>
        </w:rPr>
        <w:t>-</w:t>
      </w:r>
      <w:r w:rsidRPr="002721E7">
        <w:rPr>
          <w:rtl/>
          <w:lang w:eastAsia="zh-TW"/>
        </w:rPr>
        <w:tab/>
        <w:t xml:space="preserve">ويحث الفريق العامل الحكومة على كفالة إجراء تحقيقٍ كامل ومستقل في ملابسات </w:t>
      </w:r>
      <w:r w:rsidRPr="002721E7">
        <w:rPr>
          <w:spacing w:val="-4"/>
          <w:rtl/>
          <w:lang w:eastAsia="zh-TW"/>
        </w:rPr>
        <w:t xml:space="preserve">سلب </w:t>
      </w:r>
      <w:r w:rsidRPr="002721E7">
        <w:rPr>
          <w:rFonts w:hint="cs"/>
          <w:color w:val="FF0000"/>
          <w:spacing w:val="-4"/>
          <w:rtl/>
          <w:lang w:eastAsia="zh-TW"/>
        </w:rPr>
        <w:t>[الشخص]</w:t>
      </w:r>
      <w:r w:rsidRPr="002721E7">
        <w:rPr>
          <w:spacing w:val="-4"/>
          <w:rtl/>
          <w:lang w:eastAsia="zh-TW"/>
        </w:rPr>
        <w:t xml:space="preserve"> حريته تعسفاً، واتخاذ تدابير مناسبة في حق المسؤولين عن انتهاك </w:t>
      </w:r>
      <w:r w:rsidRPr="002721E7">
        <w:rPr>
          <w:rFonts w:hint="cs"/>
          <w:color w:val="FF0000"/>
          <w:spacing w:val="-4"/>
          <w:rtl/>
          <w:lang w:eastAsia="zh-TW"/>
        </w:rPr>
        <w:t>[</w:t>
      </w:r>
      <w:r w:rsidRPr="002721E7">
        <w:rPr>
          <w:color w:val="FF0000"/>
          <w:spacing w:val="-4"/>
          <w:rtl/>
          <w:lang w:eastAsia="zh-TW"/>
        </w:rPr>
        <w:t>حقوقه</w:t>
      </w:r>
      <w:r w:rsidRPr="002721E7">
        <w:rPr>
          <w:rFonts w:hint="cs"/>
          <w:color w:val="FF0000"/>
          <w:spacing w:val="-4"/>
          <w:rtl/>
          <w:lang w:eastAsia="zh-TW"/>
        </w:rPr>
        <w:t>] [</w:t>
      </w:r>
      <w:r w:rsidRPr="002721E7">
        <w:rPr>
          <w:color w:val="FF0000"/>
          <w:spacing w:val="-4"/>
          <w:rtl/>
          <w:lang w:eastAsia="zh-TW"/>
        </w:rPr>
        <w:t>حقوقه</w:t>
      </w:r>
      <w:r w:rsidRPr="002721E7">
        <w:rPr>
          <w:rFonts w:hint="cs"/>
          <w:color w:val="FF0000"/>
          <w:spacing w:val="-4"/>
          <w:rtl/>
          <w:lang w:eastAsia="zh-TW"/>
        </w:rPr>
        <w:t>ا]</w:t>
      </w:r>
      <w:r w:rsidRPr="002721E7">
        <w:rPr>
          <w:rFonts w:hint="cs"/>
          <w:color w:val="FF0000"/>
          <w:rtl/>
        </w:rPr>
        <w:t xml:space="preserve"> </w:t>
      </w:r>
      <w:r w:rsidRPr="002721E7">
        <w:rPr>
          <w:rFonts w:hint="cs"/>
          <w:color w:val="FF0000"/>
          <w:spacing w:val="-4"/>
          <w:rtl/>
          <w:lang w:eastAsia="zh-TW"/>
        </w:rPr>
        <w:t>[</w:t>
      </w:r>
      <w:r w:rsidRPr="002721E7">
        <w:rPr>
          <w:color w:val="FF0000"/>
          <w:spacing w:val="-4"/>
          <w:rtl/>
          <w:lang w:eastAsia="zh-TW"/>
        </w:rPr>
        <w:t>حقوقه</w:t>
      </w:r>
      <w:r w:rsidRPr="002721E7">
        <w:rPr>
          <w:rFonts w:hint="cs"/>
          <w:color w:val="FF0000"/>
          <w:spacing w:val="-4"/>
          <w:rtl/>
          <w:lang w:eastAsia="zh-TW"/>
        </w:rPr>
        <w:t>ما] [</w:t>
      </w:r>
      <w:r w:rsidRPr="002721E7">
        <w:rPr>
          <w:color w:val="FF0000"/>
          <w:spacing w:val="-4"/>
          <w:rtl/>
          <w:lang w:eastAsia="zh-TW"/>
        </w:rPr>
        <w:t>حقوقه</w:t>
      </w:r>
      <w:r w:rsidRPr="002721E7">
        <w:rPr>
          <w:rFonts w:hint="cs"/>
          <w:color w:val="FF0000"/>
          <w:spacing w:val="-4"/>
          <w:rtl/>
          <w:lang w:eastAsia="zh-TW"/>
        </w:rPr>
        <w:t>م] [</w:t>
      </w:r>
      <w:r w:rsidRPr="002721E7">
        <w:rPr>
          <w:color w:val="FF0000"/>
          <w:spacing w:val="-4"/>
          <w:rtl/>
          <w:lang w:eastAsia="zh-TW"/>
        </w:rPr>
        <w:t>حقوقه</w:t>
      </w:r>
      <w:r w:rsidRPr="002721E7">
        <w:rPr>
          <w:rFonts w:hint="cs"/>
          <w:color w:val="FF0000"/>
          <w:spacing w:val="-4"/>
          <w:rtl/>
          <w:lang w:eastAsia="zh-TW"/>
        </w:rPr>
        <w:t>ن]</w:t>
      </w:r>
      <w:r w:rsidRPr="002721E7">
        <w:rPr>
          <w:spacing w:val="-4"/>
          <w:rtl/>
          <w:lang w:eastAsia="zh-TW"/>
        </w:rPr>
        <w:t>.</w:t>
      </w:r>
    </w:p>
    <w:p w:rsidR="004B4257" w:rsidRPr="002721E7" w:rsidRDefault="004B4257" w:rsidP="004B4257">
      <w:pPr>
        <w:pStyle w:val="SingleTxtGA"/>
        <w:rPr>
          <w:color w:val="548DD4" w:themeColor="text2" w:themeTint="99"/>
          <w:rtl/>
          <w:lang w:eastAsia="zh-TW" w:bidi="ar-DZ"/>
        </w:rPr>
      </w:pPr>
      <w:r w:rsidRPr="002721E7">
        <w:rPr>
          <w:color w:val="FF0000"/>
          <w:sz w:val="12"/>
          <w:szCs w:val="22"/>
          <w:rtl/>
          <w:lang w:eastAsia="zh-TW"/>
        </w:rPr>
        <w:t>##</w:t>
      </w:r>
      <w:r w:rsidRPr="002721E7">
        <w:rPr>
          <w:rFonts w:hint="cs"/>
          <w:color w:val="FF0000"/>
          <w:sz w:val="16"/>
          <w:szCs w:val="26"/>
          <w:rtl/>
          <w:lang w:eastAsia="zh-TW"/>
        </w:rPr>
        <w:t>-</w:t>
      </w:r>
      <w:r w:rsidRPr="002721E7">
        <w:rPr>
          <w:color w:val="FF0000"/>
          <w:rtl/>
          <w:lang w:eastAsia="zh-TW"/>
        </w:rPr>
        <w:tab/>
        <w:t xml:space="preserve">ويحيل الفريق العامل، وفقاً للفقرة 33(أ) من أساليب عمله، هذه القضية إلى المقرر الخاص المعني </w:t>
      </w:r>
      <w:r w:rsidRPr="002721E7">
        <w:rPr>
          <w:rFonts w:hint="cs"/>
          <w:color w:val="FF0000"/>
          <w:rtl/>
          <w:lang w:eastAsia="zh-TW"/>
        </w:rPr>
        <w:t xml:space="preserve">ب‍ [الوظيفة]، </w:t>
      </w:r>
      <w:r w:rsidRPr="002721E7">
        <w:rPr>
          <w:rFonts w:hint="cs"/>
          <w:color w:val="FF0000"/>
          <w:rtl/>
          <w:lang w:eastAsia="zh-TW" w:bidi="ar-DZ"/>
        </w:rPr>
        <w:t>من أجل اتخاذ الإجراءات المناسبة.</w:t>
      </w:r>
      <w:r w:rsidRPr="002721E7">
        <w:rPr>
          <w:rFonts w:hint="cs"/>
          <w:rtl/>
          <w:lang w:eastAsia="zh-TW" w:bidi="ar-DZ"/>
        </w:rPr>
        <w:t xml:space="preserve"> </w:t>
      </w:r>
      <w:r w:rsidRPr="002721E7">
        <w:rPr>
          <w:rFonts w:hint="cs"/>
          <w:color w:val="548DD4" w:themeColor="text2" w:themeTint="99"/>
          <w:rtl/>
          <w:lang w:eastAsia="zh-TW" w:bidi="ar-DZ"/>
        </w:rPr>
        <w:t>[[إن أحيلت القضية]]</w:t>
      </w:r>
    </w:p>
    <w:p w:rsidR="004B4257" w:rsidRPr="002721E7" w:rsidRDefault="004B4257" w:rsidP="004B4257">
      <w:pPr>
        <w:pStyle w:val="SingleTxtGA"/>
        <w:rPr>
          <w:rtl/>
          <w:lang w:eastAsia="zh-TW" w:bidi="ar-DZ"/>
        </w:rPr>
      </w:pPr>
      <w:r w:rsidRPr="002721E7">
        <w:rPr>
          <w:color w:val="FF0000"/>
          <w:sz w:val="12"/>
          <w:szCs w:val="22"/>
          <w:rtl/>
          <w:lang w:eastAsia="zh-TW"/>
        </w:rPr>
        <w:t>##</w:t>
      </w:r>
      <w:r w:rsidRPr="002721E7">
        <w:rPr>
          <w:rFonts w:hint="cs"/>
          <w:sz w:val="16"/>
          <w:szCs w:val="26"/>
          <w:rtl/>
          <w:lang w:eastAsia="zh-TW"/>
        </w:rPr>
        <w:t>-</w:t>
      </w:r>
      <w:r w:rsidRPr="002721E7">
        <w:rPr>
          <w:rtl/>
        </w:rPr>
        <w:tab/>
        <w:t>ويطلب الفريق العامل إلى الحكومة أن تنشر هذه الآراء من خلال جميع الوسائل المتاحة</w:t>
      </w:r>
      <w:r w:rsidRPr="002721E7">
        <w:rPr>
          <w:rFonts w:hint="cs"/>
          <w:rtl/>
        </w:rPr>
        <w:t xml:space="preserve"> و</w:t>
      </w:r>
      <w:r w:rsidRPr="002721E7">
        <w:rPr>
          <w:rtl/>
        </w:rPr>
        <w:t>على أوسع نطاق ممكن</w:t>
      </w:r>
      <w:r w:rsidRPr="002721E7">
        <w:t>.</w:t>
      </w:r>
    </w:p>
    <w:p w:rsidR="004B4257" w:rsidRPr="002721E7" w:rsidRDefault="004B4257" w:rsidP="004B4257">
      <w:pPr>
        <w:pStyle w:val="H23GA"/>
        <w:rPr>
          <w:rtl/>
        </w:rPr>
      </w:pPr>
      <w:r w:rsidRPr="002721E7">
        <w:rPr>
          <w:rtl/>
        </w:rPr>
        <w:tab/>
      </w:r>
      <w:r w:rsidRPr="002721E7">
        <w:rPr>
          <w:rtl/>
        </w:rPr>
        <w:tab/>
        <w:t>إجراءات المتابعة</w:t>
      </w:r>
    </w:p>
    <w:p w:rsidR="004B4257" w:rsidRPr="002721E7" w:rsidRDefault="004B4257" w:rsidP="004B4257">
      <w:pPr>
        <w:pStyle w:val="SingleTxtGA"/>
        <w:rPr>
          <w:rtl/>
          <w:lang w:eastAsia="zh-TW"/>
        </w:rPr>
      </w:pPr>
      <w:r w:rsidRPr="002721E7">
        <w:rPr>
          <w:color w:val="FF0000"/>
          <w:sz w:val="12"/>
          <w:szCs w:val="22"/>
          <w:rtl/>
          <w:lang w:eastAsia="zh-TW"/>
        </w:rPr>
        <w:t>##</w:t>
      </w:r>
      <w:r w:rsidRPr="002721E7">
        <w:rPr>
          <w:rFonts w:hint="cs"/>
          <w:rtl/>
          <w:lang w:eastAsia="zh-TW"/>
        </w:rPr>
        <w:t>-</w:t>
      </w:r>
      <w:r w:rsidRPr="002721E7">
        <w:rPr>
          <w:rFonts w:hint="cs"/>
          <w:color w:val="FF0000"/>
          <w:rtl/>
          <w:lang w:eastAsia="zh-TW"/>
        </w:rPr>
        <w:tab/>
      </w:r>
      <w:r w:rsidRPr="002721E7">
        <w:rPr>
          <w:rFonts w:hint="cs"/>
          <w:rtl/>
          <w:lang w:eastAsia="zh-TW"/>
        </w:rPr>
        <w:t xml:space="preserve">يطلب الفريق العامل، </w:t>
      </w:r>
      <w:r w:rsidRPr="002721E7">
        <w:rPr>
          <w:rtl/>
          <w:lang w:eastAsia="zh-TW"/>
        </w:rPr>
        <w:t>وفقاً للفقرة 20 من أساليب عمل</w:t>
      </w:r>
      <w:r w:rsidRPr="002721E7">
        <w:rPr>
          <w:rFonts w:hint="cs"/>
          <w:rtl/>
          <w:lang w:eastAsia="zh-TW"/>
        </w:rPr>
        <w:t>ه</w:t>
      </w:r>
      <w:r w:rsidRPr="002721E7">
        <w:rPr>
          <w:rtl/>
          <w:lang w:eastAsia="zh-TW"/>
        </w:rPr>
        <w:t xml:space="preserve">، إلى المصدر والحكومة موافاته بمعلومات عن الإجراءات المتَّخذة لمتابعة تنفيذ التوصيات المقدمة في هذا الرأي، بما في ذلك معلومات </w:t>
      </w:r>
      <w:r w:rsidRPr="002721E7">
        <w:rPr>
          <w:rFonts w:hint="cs"/>
          <w:rtl/>
          <w:lang w:eastAsia="zh-TW"/>
        </w:rPr>
        <w:t>توضح ما </w:t>
      </w:r>
      <w:r w:rsidRPr="002721E7">
        <w:rPr>
          <w:rtl/>
          <w:lang w:eastAsia="zh-TW"/>
        </w:rPr>
        <w:t>يلي:</w:t>
      </w:r>
    </w:p>
    <w:p w:rsidR="004B4257" w:rsidRPr="002721E7" w:rsidRDefault="004B4257" w:rsidP="004B4257">
      <w:pPr>
        <w:pStyle w:val="SingleTxtGA"/>
        <w:rPr>
          <w:rtl/>
          <w:lang w:eastAsia="zh-TW"/>
        </w:rPr>
      </w:pPr>
      <w:r w:rsidRPr="002721E7">
        <w:rPr>
          <w:rFonts w:hint="cs"/>
          <w:rtl/>
          <w:lang w:eastAsia="zh-TW"/>
        </w:rPr>
        <w:tab/>
      </w:r>
      <w:r w:rsidRPr="002721E7">
        <w:rPr>
          <w:rtl/>
          <w:lang w:eastAsia="zh-TW"/>
        </w:rPr>
        <w:t>(أ)</w:t>
      </w:r>
      <w:r w:rsidRPr="002721E7">
        <w:rPr>
          <w:rtl/>
          <w:lang w:eastAsia="zh-TW"/>
        </w:rPr>
        <w:tab/>
      </w:r>
      <w:r w:rsidRPr="002721E7">
        <w:rPr>
          <w:rFonts w:hint="cs"/>
          <w:rtl/>
          <w:lang w:eastAsia="zh-TW"/>
        </w:rPr>
        <w:t>هل</w:t>
      </w:r>
      <w:r w:rsidRPr="002721E7">
        <w:rPr>
          <w:rtl/>
          <w:lang w:eastAsia="zh-TW"/>
        </w:rPr>
        <w:t xml:space="preserve"> أُفرج عن </w:t>
      </w:r>
      <w:r w:rsidRPr="002721E7">
        <w:rPr>
          <w:color w:val="FF0000"/>
          <w:rtl/>
          <w:lang w:eastAsia="zh-TW"/>
        </w:rPr>
        <w:t>الشخص</w:t>
      </w:r>
      <w:r w:rsidRPr="002721E7">
        <w:rPr>
          <w:rtl/>
          <w:lang w:eastAsia="zh-TW"/>
        </w:rPr>
        <w:t xml:space="preserve"> وفي </w:t>
      </w:r>
      <w:r w:rsidRPr="002721E7">
        <w:rPr>
          <w:rFonts w:hint="cs"/>
          <w:rtl/>
          <w:lang w:eastAsia="zh-TW"/>
        </w:rPr>
        <w:t>أي تاريخ أُفرج عنه</w:t>
      </w:r>
      <w:r w:rsidRPr="002721E7">
        <w:rPr>
          <w:rtl/>
          <w:lang w:eastAsia="zh-TW"/>
        </w:rPr>
        <w:t>، إن حصل ذلك؛</w:t>
      </w:r>
    </w:p>
    <w:p w:rsidR="004B4257" w:rsidRPr="002721E7" w:rsidRDefault="004B4257" w:rsidP="004B4257">
      <w:pPr>
        <w:pStyle w:val="SingleTxtGA"/>
        <w:rPr>
          <w:rtl/>
          <w:lang w:eastAsia="zh-TW"/>
        </w:rPr>
      </w:pPr>
      <w:r w:rsidRPr="002721E7">
        <w:rPr>
          <w:rFonts w:hint="cs"/>
          <w:rtl/>
          <w:lang w:eastAsia="zh-TW"/>
        </w:rPr>
        <w:tab/>
      </w:r>
      <w:r w:rsidRPr="002721E7">
        <w:rPr>
          <w:rtl/>
          <w:lang w:eastAsia="zh-TW"/>
        </w:rPr>
        <w:t>(ب)</w:t>
      </w:r>
      <w:r w:rsidRPr="002721E7">
        <w:rPr>
          <w:rtl/>
          <w:lang w:eastAsia="zh-TW"/>
        </w:rPr>
        <w:tab/>
      </w:r>
      <w:r w:rsidRPr="002721E7">
        <w:rPr>
          <w:rFonts w:hint="cs"/>
          <w:rtl/>
          <w:lang w:eastAsia="zh-TW"/>
        </w:rPr>
        <w:t>هل قُدم</w:t>
      </w:r>
      <w:r w:rsidRPr="002721E7">
        <w:rPr>
          <w:rtl/>
          <w:lang w:eastAsia="zh-TW"/>
        </w:rPr>
        <w:t xml:space="preserve"> </w:t>
      </w:r>
      <w:r w:rsidRPr="002721E7">
        <w:rPr>
          <w:color w:val="FF0000"/>
          <w:rtl/>
          <w:lang w:eastAsia="zh-TW"/>
        </w:rPr>
        <w:t>للشخص</w:t>
      </w:r>
      <w:r w:rsidRPr="002721E7">
        <w:rPr>
          <w:rtl/>
          <w:lang w:eastAsia="zh-TW"/>
        </w:rPr>
        <w:t xml:space="preserve"> تعويض أو شكل آخر من أشكال جبر الضرر؛</w:t>
      </w:r>
    </w:p>
    <w:p w:rsidR="004B4257" w:rsidRPr="002721E7" w:rsidRDefault="004B4257" w:rsidP="004B4257">
      <w:pPr>
        <w:pStyle w:val="SingleTxtGA"/>
        <w:rPr>
          <w:rtl/>
          <w:lang w:eastAsia="zh-TW"/>
        </w:rPr>
      </w:pPr>
      <w:r w:rsidRPr="002721E7">
        <w:rPr>
          <w:rFonts w:hint="cs"/>
          <w:rtl/>
          <w:lang w:eastAsia="zh-TW"/>
        </w:rPr>
        <w:tab/>
      </w:r>
      <w:r w:rsidRPr="002721E7">
        <w:rPr>
          <w:rtl/>
          <w:lang w:eastAsia="zh-TW"/>
        </w:rPr>
        <w:t>(ج)</w:t>
      </w:r>
      <w:r w:rsidRPr="002721E7">
        <w:rPr>
          <w:rtl/>
          <w:lang w:eastAsia="zh-TW"/>
        </w:rPr>
        <w:tab/>
      </w:r>
      <w:r w:rsidRPr="002721E7">
        <w:rPr>
          <w:rFonts w:hint="cs"/>
          <w:rtl/>
          <w:lang w:eastAsia="zh-TW"/>
        </w:rPr>
        <w:t>هل</w:t>
      </w:r>
      <w:r w:rsidRPr="002721E7">
        <w:rPr>
          <w:rtl/>
          <w:lang w:eastAsia="zh-TW"/>
        </w:rPr>
        <w:t xml:space="preserve"> أُجري تحقيق في انتهاك حقوق </w:t>
      </w:r>
      <w:r w:rsidRPr="002721E7">
        <w:rPr>
          <w:color w:val="FF0000"/>
          <w:rtl/>
          <w:lang w:eastAsia="zh-TW"/>
        </w:rPr>
        <w:t>الشخص</w:t>
      </w:r>
      <w:r w:rsidRPr="002721E7">
        <w:rPr>
          <w:rtl/>
          <w:lang w:eastAsia="zh-TW"/>
        </w:rPr>
        <w:t xml:space="preserve">، </w:t>
      </w:r>
      <w:r w:rsidRPr="002721E7">
        <w:rPr>
          <w:rFonts w:hint="cs"/>
          <w:rtl/>
          <w:lang w:eastAsia="zh-TW"/>
        </w:rPr>
        <w:t>و</w:t>
      </w:r>
      <w:r w:rsidRPr="002721E7">
        <w:rPr>
          <w:rtl/>
          <w:lang w:eastAsia="zh-TW"/>
        </w:rPr>
        <w:t>نتائج التحقيق إن أ</w:t>
      </w:r>
      <w:r w:rsidRPr="002721E7">
        <w:rPr>
          <w:rFonts w:hint="cs"/>
          <w:rtl/>
          <w:lang w:eastAsia="zh-TW"/>
        </w:rPr>
        <w:t>ُ</w:t>
      </w:r>
      <w:r w:rsidRPr="002721E7">
        <w:rPr>
          <w:rtl/>
          <w:lang w:eastAsia="zh-TW"/>
        </w:rPr>
        <w:t>جري؛</w:t>
      </w:r>
    </w:p>
    <w:p w:rsidR="004B4257" w:rsidRPr="002721E7" w:rsidRDefault="004B4257" w:rsidP="004B4257">
      <w:pPr>
        <w:pStyle w:val="SingleTxtGA"/>
        <w:rPr>
          <w:rtl/>
          <w:lang w:eastAsia="zh-TW"/>
        </w:rPr>
      </w:pPr>
      <w:r w:rsidRPr="002721E7">
        <w:rPr>
          <w:rFonts w:hint="cs"/>
          <w:rtl/>
          <w:lang w:eastAsia="zh-TW"/>
        </w:rPr>
        <w:tab/>
      </w:r>
      <w:r w:rsidRPr="002721E7">
        <w:rPr>
          <w:rtl/>
          <w:lang w:eastAsia="zh-TW"/>
        </w:rPr>
        <w:t>(د)</w:t>
      </w:r>
      <w:r w:rsidRPr="002721E7">
        <w:rPr>
          <w:rtl/>
          <w:lang w:eastAsia="zh-TW"/>
        </w:rPr>
        <w:tab/>
      </w:r>
      <w:r w:rsidRPr="002721E7">
        <w:rPr>
          <w:rFonts w:hint="cs"/>
          <w:rtl/>
          <w:lang w:eastAsia="zh-TW"/>
        </w:rPr>
        <w:t>هل</w:t>
      </w:r>
      <w:r w:rsidRPr="002721E7">
        <w:rPr>
          <w:rtl/>
          <w:lang w:eastAsia="zh-TW"/>
        </w:rPr>
        <w:t xml:space="preserve"> أ</w:t>
      </w:r>
      <w:r w:rsidRPr="002721E7">
        <w:rPr>
          <w:rFonts w:hint="cs"/>
          <w:rtl/>
          <w:lang w:eastAsia="zh-TW"/>
        </w:rPr>
        <w:t>ُ</w:t>
      </w:r>
      <w:r w:rsidRPr="002721E7">
        <w:rPr>
          <w:rtl/>
          <w:lang w:eastAsia="zh-TW"/>
        </w:rPr>
        <w:t xml:space="preserve">دخلت أي تعديلات تشريعية أو تغييرات في الممارسة من أجل مواءمة قوانين </w:t>
      </w:r>
      <w:r w:rsidRPr="002721E7">
        <w:rPr>
          <w:rFonts w:hint="eastAsia"/>
          <w:color w:val="FF0000"/>
          <w:rtl/>
          <w:lang w:eastAsia="zh-TW"/>
        </w:rPr>
        <w:t>البلد</w:t>
      </w:r>
      <w:r w:rsidRPr="002721E7">
        <w:rPr>
          <w:color w:val="FF0000"/>
          <w:rtl/>
          <w:lang w:eastAsia="zh-TW"/>
        </w:rPr>
        <w:t xml:space="preserve"> </w:t>
      </w:r>
      <w:r w:rsidRPr="002721E7">
        <w:rPr>
          <w:rFonts w:hint="cs"/>
          <w:rtl/>
          <w:lang w:eastAsia="zh-TW"/>
        </w:rPr>
        <w:t xml:space="preserve">وممارساته </w:t>
      </w:r>
      <w:r w:rsidRPr="002721E7">
        <w:rPr>
          <w:rtl/>
          <w:lang w:eastAsia="zh-TW"/>
        </w:rPr>
        <w:t>مع التزاماته الدولية وفقاً لهذا الرأي؛</w:t>
      </w:r>
    </w:p>
    <w:p w:rsidR="004B4257" w:rsidRPr="002721E7" w:rsidRDefault="004B4257" w:rsidP="004B4257">
      <w:pPr>
        <w:pStyle w:val="SingleTxtGA"/>
        <w:rPr>
          <w:rtl/>
          <w:lang w:eastAsia="zh-TW"/>
        </w:rPr>
      </w:pPr>
      <w:r w:rsidRPr="002721E7">
        <w:rPr>
          <w:rFonts w:hint="cs"/>
          <w:rtl/>
          <w:lang w:eastAsia="zh-TW"/>
        </w:rPr>
        <w:tab/>
      </w:r>
      <w:r w:rsidRPr="002721E7">
        <w:rPr>
          <w:rtl/>
          <w:lang w:eastAsia="zh-TW"/>
        </w:rPr>
        <w:t>(ه)</w:t>
      </w:r>
      <w:r w:rsidRPr="002721E7">
        <w:rPr>
          <w:rFonts w:hint="cs"/>
          <w:rtl/>
          <w:lang w:eastAsia="zh-TW"/>
        </w:rPr>
        <w:tab/>
        <w:t>هل</w:t>
      </w:r>
      <w:r w:rsidRPr="002721E7">
        <w:rPr>
          <w:rtl/>
          <w:lang w:eastAsia="zh-TW"/>
        </w:rPr>
        <w:t xml:space="preserve"> اتُّخذت أي إجراءات أخرى لتنفيذ هذا الرأي.</w:t>
      </w:r>
    </w:p>
    <w:p w:rsidR="004B4257" w:rsidRPr="002721E7" w:rsidRDefault="004B4257" w:rsidP="004B4257">
      <w:pPr>
        <w:pStyle w:val="SingleTxtGA"/>
        <w:rPr>
          <w:lang w:eastAsia="zh-TW"/>
        </w:rPr>
      </w:pPr>
      <w:r w:rsidRPr="002721E7">
        <w:rPr>
          <w:color w:val="FF0000"/>
          <w:sz w:val="12"/>
          <w:szCs w:val="22"/>
          <w:rtl/>
          <w:lang w:eastAsia="zh-TW"/>
        </w:rPr>
        <w:t>##</w:t>
      </w:r>
      <w:r w:rsidRPr="002721E7">
        <w:rPr>
          <w:rFonts w:hint="cs"/>
          <w:rtl/>
          <w:lang w:eastAsia="zh-TW"/>
        </w:rPr>
        <w:t>-</w:t>
      </w:r>
      <w:r w:rsidRPr="002721E7">
        <w:rPr>
          <w:rFonts w:hint="cs"/>
          <w:color w:val="FF0000"/>
          <w:rtl/>
          <w:lang w:eastAsia="zh-TW"/>
        </w:rPr>
        <w:tab/>
      </w:r>
      <w:r w:rsidRPr="002721E7">
        <w:rPr>
          <w:rtl/>
          <w:lang w:eastAsia="zh-TW"/>
        </w:rPr>
        <w:t xml:space="preserve">والحكومة مدعوّة إلى إبلاغ الفريق العامل بأي صعوبات قد </w:t>
      </w:r>
      <w:r w:rsidRPr="002721E7">
        <w:rPr>
          <w:rFonts w:hint="cs"/>
          <w:rtl/>
          <w:lang w:eastAsia="zh-TW"/>
        </w:rPr>
        <w:t xml:space="preserve">تكون </w:t>
      </w:r>
      <w:r w:rsidRPr="002721E7">
        <w:rPr>
          <w:rtl/>
          <w:lang w:eastAsia="zh-TW"/>
        </w:rPr>
        <w:t>واجه</w:t>
      </w:r>
      <w:r w:rsidRPr="002721E7">
        <w:rPr>
          <w:rFonts w:hint="cs"/>
          <w:rtl/>
          <w:lang w:eastAsia="zh-TW"/>
        </w:rPr>
        <w:t>ت</w:t>
      </w:r>
      <w:r w:rsidRPr="002721E7">
        <w:rPr>
          <w:rtl/>
          <w:lang w:eastAsia="zh-TW"/>
        </w:rPr>
        <w:t xml:space="preserve">ها في تنفيذ التوصيات المقدمة في إطار هذا الرأي وبما إذا كان يلزمها المزيد من المساعدة التقنية، بوسائل منها مثلاً </w:t>
      </w:r>
      <w:r w:rsidRPr="002721E7">
        <w:rPr>
          <w:rFonts w:hint="cs"/>
          <w:rtl/>
          <w:lang w:eastAsia="zh-TW"/>
        </w:rPr>
        <w:t>زيارة</w:t>
      </w:r>
      <w:r w:rsidRPr="002721E7">
        <w:rPr>
          <w:rtl/>
          <w:lang w:eastAsia="zh-TW"/>
        </w:rPr>
        <w:t xml:space="preserve"> الفريق العامل </w:t>
      </w:r>
      <w:r w:rsidRPr="002721E7">
        <w:rPr>
          <w:rFonts w:hint="cs"/>
          <w:rtl/>
          <w:lang w:eastAsia="zh-TW"/>
        </w:rPr>
        <w:t>البلد</w:t>
      </w:r>
      <w:r w:rsidRPr="002721E7">
        <w:rPr>
          <w:rtl/>
          <w:lang w:eastAsia="zh-TW"/>
        </w:rPr>
        <w:t>.</w:t>
      </w:r>
    </w:p>
    <w:p w:rsidR="004B4257" w:rsidRPr="002721E7" w:rsidRDefault="004B4257" w:rsidP="004B4257">
      <w:pPr>
        <w:pStyle w:val="SingleTxtGA"/>
        <w:rPr>
          <w:rtl/>
          <w:lang w:eastAsia="zh-TW"/>
        </w:rPr>
      </w:pPr>
      <w:r w:rsidRPr="002721E7">
        <w:rPr>
          <w:color w:val="FF0000"/>
          <w:sz w:val="12"/>
          <w:szCs w:val="22"/>
          <w:rtl/>
          <w:lang w:eastAsia="zh-TW"/>
        </w:rPr>
        <w:t>##</w:t>
      </w:r>
      <w:r w:rsidRPr="002721E7">
        <w:rPr>
          <w:rFonts w:hint="cs"/>
          <w:rtl/>
          <w:lang w:eastAsia="zh-TW"/>
        </w:rPr>
        <w:t>-</w:t>
      </w:r>
      <w:r w:rsidRPr="002721E7">
        <w:rPr>
          <w:rFonts w:hint="cs"/>
          <w:color w:val="FF0000"/>
          <w:rtl/>
          <w:lang w:eastAsia="zh-TW"/>
        </w:rPr>
        <w:tab/>
      </w:r>
      <w:r w:rsidRPr="002721E7">
        <w:rPr>
          <w:rtl/>
          <w:lang w:eastAsia="zh-TW"/>
        </w:rPr>
        <w:t xml:space="preserve">ويطلب الفريق العامل إلى المصدر والحكومة تقديم المعلومات </w:t>
      </w:r>
      <w:r w:rsidRPr="002721E7">
        <w:rPr>
          <w:rFonts w:hint="cs"/>
          <w:rtl/>
          <w:lang w:eastAsia="zh-TW"/>
        </w:rPr>
        <w:t>المذكورة</w:t>
      </w:r>
      <w:r w:rsidRPr="002721E7">
        <w:rPr>
          <w:rtl/>
          <w:lang w:eastAsia="zh-TW"/>
        </w:rPr>
        <w:t xml:space="preserve"> أعلاه في غضون ستة أشهر من تاريخ إحالة هذا الرأي إليهما. بيد أن الفريق العامل يحتفظ بالحق في اتخاذ إجراءاته </w:t>
      </w:r>
      <w:r w:rsidRPr="002721E7">
        <w:rPr>
          <w:rFonts w:hint="cs"/>
          <w:rtl/>
          <w:lang w:eastAsia="zh-TW"/>
        </w:rPr>
        <w:t>هو</w:t>
      </w:r>
      <w:r w:rsidRPr="002721E7">
        <w:rPr>
          <w:rtl/>
          <w:lang w:eastAsia="zh-TW"/>
        </w:rPr>
        <w:t xml:space="preserve"> لمتابعة </w:t>
      </w:r>
      <w:r w:rsidRPr="002721E7">
        <w:rPr>
          <w:rFonts w:hint="cs"/>
          <w:rtl/>
          <w:lang w:eastAsia="zh-TW"/>
        </w:rPr>
        <w:t xml:space="preserve">هذا </w:t>
      </w:r>
      <w:r w:rsidRPr="002721E7">
        <w:rPr>
          <w:rtl/>
          <w:lang w:eastAsia="zh-TW"/>
        </w:rPr>
        <w:t xml:space="preserve">الرأي إذا </w:t>
      </w:r>
      <w:r w:rsidRPr="002721E7">
        <w:rPr>
          <w:rFonts w:hint="cs"/>
          <w:rtl/>
          <w:lang w:eastAsia="zh-TW"/>
        </w:rPr>
        <w:t>عُرضت عليه شواغل جديدة تتعلق ب</w:t>
      </w:r>
      <w:r w:rsidRPr="002721E7">
        <w:rPr>
          <w:rtl/>
          <w:lang w:eastAsia="zh-TW"/>
        </w:rPr>
        <w:t xml:space="preserve">هذه </w:t>
      </w:r>
      <w:r w:rsidRPr="002721E7">
        <w:rPr>
          <w:rFonts w:hint="cs"/>
          <w:rtl/>
          <w:lang w:eastAsia="zh-TW"/>
        </w:rPr>
        <w:t>القضية</w:t>
      </w:r>
      <w:r w:rsidRPr="002721E7">
        <w:rPr>
          <w:rtl/>
          <w:lang w:eastAsia="zh-TW"/>
        </w:rPr>
        <w:t xml:space="preserve">. </w:t>
      </w:r>
      <w:r w:rsidRPr="002721E7">
        <w:rPr>
          <w:rFonts w:hint="cs"/>
          <w:rtl/>
          <w:lang w:eastAsia="zh-TW"/>
        </w:rPr>
        <w:t>ومن شأن هذه الإجراءات أن تمكّن</w:t>
      </w:r>
      <w:r w:rsidRPr="002721E7">
        <w:rPr>
          <w:rtl/>
          <w:lang w:eastAsia="zh-TW"/>
        </w:rPr>
        <w:t xml:space="preserve"> الفريق العامل من إطلاع مجلس حقوق الإنسان على التقدم الم</w:t>
      </w:r>
      <w:r w:rsidRPr="002721E7">
        <w:rPr>
          <w:rFonts w:hint="cs"/>
          <w:rtl/>
          <w:lang w:eastAsia="zh-TW"/>
        </w:rPr>
        <w:t>ـ</w:t>
      </w:r>
      <w:r w:rsidRPr="002721E7">
        <w:rPr>
          <w:rtl/>
          <w:lang w:eastAsia="zh-TW"/>
        </w:rPr>
        <w:t>ُحرز في تنفيذ توصيات</w:t>
      </w:r>
      <w:r w:rsidRPr="002721E7">
        <w:rPr>
          <w:rFonts w:hint="cs"/>
          <w:rtl/>
          <w:lang w:eastAsia="zh-TW"/>
        </w:rPr>
        <w:t>ه</w:t>
      </w:r>
      <w:r w:rsidRPr="002721E7">
        <w:rPr>
          <w:rtl/>
          <w:lang w:eastAsia="zh-TW"/>
        </w:rPr>
        <w:t>، وعلى أي</w:t>
      </w:r>
      <w:r w:rsidRPr="002721E7">
        <w:rPr>
          <w:rFonts w:hint="cs"/>
          <w:rtl/>
          <w:lang w:eastAsia="zh-TW"/>
        </w:rPr>
        <w:t xml:space="preserve"> تقصير في اتخاذ</w:t>
      </w:r>
      <w:r w:rsidRPr="002721E7">
        <w:rPr>
          <w:rtl/>
          <w:lang w:eastAsia="zh-TW"/>
        </w:rPr>
        <w:t xml:space="preserve"> </w:t>
      </w:r>
      <w:r w:rsidRPr="002721E7">
        <w:rPr>
          <w:rFonts w:hint="cs"/>
          <w:rtl/>
          <w:lang w:eastAsia="zh-TW"/>
        </w:rPr>
        <w:t>ال</w:t>
      </w:r>
      <w:r w:rsidRPr="002721E7">
        <w:rPr>
          <w:rtl/>
          <w:lang w:eastAsia="zh-TW"/>
        </w:rPr>
        <w:t>إجراءات</w:t>
      </w:r>
      <w:r w:rsidRPr="002721E7">
        <w:rPr>
          <w:rFonts w:hint="cs"/>
          <w:rtl/>
          <w:lang w:eastAsia="zh-TW"/>
        </w:rPr>
        <w:t xml:space="preserve"> اللازمة</w:t>
      </w:r>
      <w:r w:rsidRPr="002721E7">
        <w:rPr>
          <w:rtl/>
          <w:lang w:eastAsia="zh-TW"/>
        </w:rPr>
        <w:t>.</w:t>
      </w:r>
    </w:p>
    <w:p w:rsidR="004B4257" w:rsidRPr="002721E7" w:rsidRDefault="004B4257" w:rsidP="004B4257">
      <w:pPr>
        <w:pStyle w:val="SingleTxtGA"/>
        <w:rPr>
          <w:spacing w:val="-2"/>
          <w:rtl/>
          <w:lang w:eastAsia="zh-TW"/>
        </w:rPr>
      </w:pPr>
      <w:r w:rsidRPr="002721E7">
        <w:rPr>
          <w:color w:val="FF0000"/>
          <w:spacing w:val="-2"/>
          <w:sz w:val="12"/>
          <w:szCs w:val="22"/>
          <w:rtl/>
          <w:lang w:eastAsia="zh-TW"/>
        </w:rPr>
        <w:t>##</w:t>
      </w:r>
      <w:r w:rsidRPr="002721E7">
        <w:rPr>
          <w:rFonts w:hint="cs"/>
          <w:spacing w:val="-2"/>
          <w:rtl/>
          <w:lang w:eastAsia="zh-TW"/>
        </w:rPr>
        <w:t>-</w:t>
      </w:r>
      <w:r w:rsidRPr="002721E7">
        <w:rPr>
          <w:rFonts w:hint="cs"/>
          <w:color w:val="FF0000"/>
          <w:spacing w:val="-2"/>
          <w:rtl/>
          <w:lang w:eastAsia="zh-TW"/>
        </w:rPr>
        <w:tab/>
      </w:r>
      <w:r w:rsidRPr="002721E7">
        <w:rPr>
          <w:spacing w:val="-2"/>
          <w:rtl/>
          <w:lang w:eastAsia="zh-TW"/>
        </w:rPr>
        <w:t>ويشير الفريق العامل إلى أن مجلس حقوق الإنسان قد شجع جميع الدول على التعاون مع الفريق العامل، وطلب إليها أن تراعي آراءه وأن تتخذ، عند الاقتضاء، الإجراءات الملائمة</w:t>
      </w:r>
      <w:r w:rsidRPr="002721E7">
        <w:rPr>
          <w:rFonts w:hint="cs"/>
          <w:spacing w:val="-2"/>
          <w:rtl/>
          <w:lang w:eastAsia="zh-TW"/>
        </w:rPr>
        <w:t xml:space="preserve"> </w:t>
      </w:r>
      <w:r w:rsidRPr="002721E7">
        <w:rPr>
          <w:spacing w:val="-2"/>
          <w:rtl/>
          <w:lang w:eastAsia="zh-TW"/>
        </w:rPr>
        <w:t xml:space="preserve">لتصحيح وضع من </w:t>
      </w:r>
      <w:bookmarkStart w:id="0" w:name="_GoBack"/>
      <w:bookmarkEnd w:id="0"/>
      <w:r w:rsidRPr="002721E7">
        <w:rPr>
          <w:spacing w:val="-2"/>
          <w:rtl/>
          <w:lang w:eastAsia="zh-TW"/>
        </w:rPr>
        <w:t>س</w:t>
      </w:r>
      <w:r w:rsidRPr="002721E7">
        <w:rPr>
          <w:rFonts w:hint="cs"/>
          <w:spacing w:val="-2"/>
          <w:rtl/>
          <w:lang w:eastAsia="zh-TW"/>
        </w:rPr>
        <w:t>ُ</w:t>
      </w:r>
      <w:r w:rsidRPr="002721E7">
        <w:rPr>
          <w:spacing w:val="-2"/>
          <w:rtl/>
          <w:lang w:eastAsia="zh-TW"/>
        </w:rPr>
        <w:t>لب</w:t>
      </w:r>
      <w:r w:rsidRPr="002721E7">
        <w:rPr>
          <w:rFonts w:hint="cs"/>
          <w:spacing w:val="-2"/>
          <w:rtl/>
          <w:lang w:eastAsia="zh-TW"/>
        </w:rPr>
        <w:t>وا</w:t>
      </w:r>
      <w:r w:rsidRPr="002721E7">
        <w:rPr>
          <w:spacing w:val="-2"/>
          <w:rtl/>
          <w:lang w:eastAsia="zh-TW"/>
        </w:rPr>
        <w:t xml:space="preserve"> حريتهم تعسفاً، وأن تطلع الفريق العامل على ما اتخذته من</w:t>
      </w:r>
      <w:r w:rsidRPr="002721E7">
        <w:rPr>
          <w:rFonts w:hint="cs"/>
          <w:spacing w:val="-2"/>
          <w:rtl/>
          <w:lang w:eastAsia="zh-TW"/>
        </w:rPr>
        <w:t xml:space="preserve"> </w:t>
      </w:r>
      <w:r w:rsidRPr="002721E7">
        <w:rPr>
          <w:spacing w:val="-2"/>
          <w:rtl/>
          <w:lang w:eastAsia="zh-TW"/>
        </w:rPr>
        <w:t>إجراءات</w:t>
      </w:r>
      <w:r w:rsidRPr="002721E7">
        <w:rPr>
          <w:spacing w:val="-2"/>
          <w:vertAlign w:val="superscript"/>
          <w:rtl/>
          <w:lang w:eastAsia="zh-TW"/>
        </w:rPr>
        <w:t>(</w:t>
      </w:r>
      <w:r w:rsidRPr="002721E7">
        <w:rPr>
          <w:spacing w:val="-2"/>
          <w:vertAlign w:val="superscript"/>
          <w:rtl/>
          <w:lang w:eastAsia="zh-TW"/>
        </w:rPr>
        <w:footnoteReference w:id="2"/>
      </w:r>
      <w:r w:rsidRPr="002721E7">
        <w:rPr>
          <w:spacing w:val="-2"/>
          <w:vertAlign w:val="superscript"/>
          <w:rtl/>
          <w:lang w:eastAsia="zh-TW"/>
        </w:rPr>
        <w:t>)</w:t>
      </w:r>
      <w:r w:rsidRPr="002721E7">
        <w:rPr>
          <w:rFonts w:hint="cs"/>
          <w:spacing w:val="-2"/>
          <w:rtl/>
          <w:lang w:eastAsia="zh-TW"/>
        </w:rPr>
        <w:t>.</w:t>
      </w:r>
    </w:p>
    <w:p w:rsidR="008F0FC5" w:rsidRPr="004B4257" w:rsidRDefault="004B4257" w:rsidP="004B4257">
      <w:pPr>
        <w:pStyle w:val="SingleTxtGA"/>
        <w:jc w:val="right"/>
        <w:rPr>
          <w:rtl/>
        </w:rPr>
      </w:pPr>
      <w:r w:rsidRPr="004B4257">
        <w:rPr>
          <w:rtl/>
        </w:rPr>
        <w:t>[</w:t>
      </w:r>
      <w:r w:rsidRPr="002721E7">
        <w:rPr>
          <w:i/>
          <w:iCs/>
          <w:rtl/>
          <w:lang w:eastAsia="zh-TW"/>
        </w:rPr>
        <w:t>اعت</w:t>
      </w:r>
      <w:r w:rsidRPr="002721E7">
        <w:rPr>
          <w:rFonts w:hint="cs"/>
          <w:i/>
          <w:iCs/>
          <w:rtl/>
          <w:lang w:eastAsia="zh-TW"/>
        </w:rPr>
        <w:t>ُ</w:t>
      </w:r>
      <w:r w:rsidRPr="002721E7">
        <w:rPr>
          <w:i/>
          <w:iCs/>
          <w:rtl/>
          <w:lang w:eastAsia="zh-TW"/>
        </w:rPr>
        <w:t xml:space="preserve">مد في </w:t>
      </w:r>
      <w:r w:rsidRPr="002721E7">
        <w:rPr>
          <w:i/>
          <w:iCs/>
          <w:color w:val="FF0000"/>
          <w:rtl/>
          <w:lang w:eastAsia="zh-TW"/>
        </w:rPr>
        <w:t>التاريخ</w:t>
      </w:r>
      <w:r w:rsidRPr="004B4257">
        <w:rPr>
          <w:rtl/>
        </w:rPr>
        <w:t>]</w:t>
      </w:r>
    </w:p>
    <w:p w:rsidR="004B4257" w:rsidRPr="00C71E1C" w:rsidRDefault="004B4257" w:rsidP="004B4257">
      <w:pPr>
        <w:pStyle w:val="SingleTxtGA"/>
        <w:jc w:val="center"/>
        <w:rPr>
          <w:u w:val="single"/>
          <w:lang w:bidi="ar-DZ"/>
        </w:rPr>
      </w:pPr>
      <w:r w:rsidRPr="00C71E1C">
        <w:rPr>
          <w:iCs/>
          <w:u w:val="single"/>
          <w:rtl/>
          <w:lang w:eastAsia="zh-TW"/>
        </w:rPr>
        <w:tab/>
      </w:r>
      <w:r w:rsidRPr="00C71E1C">
        <w:rPr>
          <w:iCs/>
          <w:u w:val="single"/>
          <w:rtl/>
          <w:lang w:eastAsia="zh-TW"/>
        </w:rPr>
        <w:tab/>
      </w:r>
      <w:r w:rsidRPr="00C71E1C">
        <w:rPr>
          <w:iCs/>
          <w:u w:val="single"/>
          <w:rtl/>
          <w:lang w:eastAsia="zh-TW"/>
        </w:rPr>
        <w:tab/>
      </w:r>
    </w:p>
    <w:sectPr w:rsidR="004B4257" w:rsidRPr="00C71E1C"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3315DA" w:rsidP="00E61B92">
    <w:pPr>
      <w:pStyle w:val="Pieddepage"/>
      <w:tabs>
        <w:tab w:val="right" w:pos="9598"/>
      </w:tabs>
    </w:pPr>
    <w:r>
      <w:fldChar w:fldCharType="begin"/>
    </w:r>
    <w:r>
      <w:instrText xml:space="preserve"> DOCPROPERTY  gdocf  \* MERGEFORMAT </w:instrText>
    </w:r>
    <w:r>
      <w:fldChar w:fldCharType="separate"/>
    </w:r>
    <w:proofErr w:type="spellStart"/>
    <w:r w:rsidR="00C37868">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4B4257">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C71E1C">
      <w:rPr>
        <w:b/>
        <w:noProof/>
        <w:sz w:val="18"/>
        <w:lang w:val="en-US"/>
      </w:rPr>
      <w:t>3</w:t>
    </w:r>
    <w:r w:rsidRPr="005B635A">
      <w:rPr>
        <w:b/>
        <w:sz w:val="18"/>
        <w:lang w:val="en-US"/>
      </w:rPr>
      <w:fldChar w:fldCharType="end"/>
    </w:r>
    <w:r>
      <w:rPr>
        <w:b/>
        <w:sz w:val="18"/>
        <w:lang w:val="en-US"/>
      </w:rPr>
      <w:tab/>
    </w:r>
    <w:r w:rsidR="003315DA">
      <w:fldChar w:fldCharType="begin"/>
    </w:r>
    <w:r w:rsidR="003315DA">
      <w:instrText xml:space="preserve"> DOCPROPERTY  gdocf  \* MERGEFORMAT </w:instrText>
    </w:r>
    <w:r w:rsidR="003315DA">
      <w:fldChar w:fldCharType="separate"/>
    </w:r>
    <w:proofErr w:type="spellStart"/>
    <w:r w:rsidR="00C37868">
      <w:t>gdocf</w:t>
    </w:r>
    <w:proofErr w:type="spellEnd"/>
    <w:r w:rsidR="003315D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C37868">
      <w:rPr>
        <w:sz w:val="20"/>
        <w:szCs w:val="20"/>
      </w:rPr>
      <w:t>gdoc</w:t>
    </w:r>
    <w:proofErr w:type="spellEnd"/>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00C37868">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4B4257" w:rsidRPr="00BA2FCB" w:rsidRDefault="004B4257" w:rsidP="004B4257">
      <w:pPr>
        <w:pStyle w:val="FootnoteText1"/>
        <w:rPr>
          <w:lang w:bidi="ar-DZ"/>
        </w:rPr>
      </w:pPr>
      <w:r w:rsidRPr="00BA2FCB">
        <w:rPr>
          <w:rFonts w:hint="cs"/>
          <w:color w:val="FF0000"/>
          <w:rtl/>
          <w:lang w:eastAsia="zh-TW"/>
        </w:rPr>
        <w:t>[*</w:t>
      </w:r>
      <w:r w:rsidRPr="00BA2FCB">
        <w:rPr>
          <w:color w:val="FF0000"/>
          <w:rtl/>
          <w:lang w:eastAsia="zh-TW"/>
        </w:rPr>
        <w:tab/>
      </w:r>
      <w:r w:rsidRPr="00BA2FCB">
        <w:rPr>
          <w:rFonts w:hint="cs"/>
          <w:color w:val="FF0000"/>
          <w:rtl/>
          <w:lang w:eastAsia="zh-TW"/>
        </w:rPr>
        <w:t>وفقاً للفقرة 5 من أساليب عمل الفريق العامل، لم يشارك [عضو الفريق العامل] في مناقشة هذه القضية.]</w:t>
      </w:r>
    </w:p>
  </w:footnote>
  <w:footnote w:id="2">
    <w:p w:rsidR="004B4257" w:rsidRPr="003C3BCE" w:rsidRDefault="004B4257" w:rsidP="004B4257">
      <w:pPr>
        <w:pStyle w:val="FootnoteText1"/>
        <w:textDirection w:val="tbRlV"/>
        <w:rPr>
          <w:rtl/>
          <w:lang w:val="en-GB" w:eastAsia="zh-TW"/>
        </w:rPr>
      </w:pPr>
      <w:r w:rsidRPr="00BA2FCB">
        <w:rPr>
          <w:rStyle w:val="Appelnotedebasdep"/>
          <w:szCs w:val="26"/>
          <w:vertAlign w:val="baseline"/>
          <w:rtl/>
          <w:lang w:val="en-GB" w:eastAsia="zh-TW"/>
        </w:rPr>
        <w:t>(</w:t>
      </w:r>
      <w:r w:rsidRPr="00BA2FCB">
        <w:rPr>
          <w:rStyle w:val="Appelnotedebasdep"/>
          <w:szCs w:val="26"/>
          <w:vertAlign w:val="baseline"/>
          <w:rtl/>
          <w:lang w:val="en-GB" w:eastAsia="zh-TW"/>
        </w:rPr>
        <w:footnoteRef/>
      </w:r>
      <w:r w:rsidRPr="00BA2FCB">
        <w:rPr>
          <w:rStyle w:val="Appelnotedebasdep"/>
          <w:szCs w:val="26"/>
          <w:vertAlign w:val="baseline"/>
          <w:rtl/>
          <w:lang w:val="en-GB" w:eastAsia="zh-TW"/>
        </w:rPr>
        <w:t>)</w:t>
      </w:r>
      <w:r w:rsidRPr="00BA2FCB">
        <w:rPr>
          <w:rStyle w:val="Appelnotedebasdep"/>
          <w:szCs w:val="26"/>
          <w:vertAlign w:val="baseline"/>
          <w:rtl/>
          <w:lang w:val="en-GB" w:eastAsia="zh-TW"/>
        </w:rPr>
        <w:tab/>
      </w:r>
      <w:r w:rsidRPr="00BA2FCB">
        <w:rPr>
          <w:rtl/>
          <w:lang w:val="en-GB" w:eastAsia="zh-TW"/>
        </w:rPr>
        <w:t xml:space="preserve">انظر قرار مجلس حقوق الإنسان </w:t>
      </w:r>
      <w:r w:rsidRPr="00BA2FCB">
        <w:rPr>
          <w:color w:val="FF0000"/>
          <w:rtl/>
          <w:lang w:val="en-GB" w:eastAsia="zh-TW"/>
        </w:rPr>
        <w:t>##</w:t>
      </w:r>
      <w:r w:rsidRPr="00BA2FCB">
        <w:rPr>
          <w:rtl/>
          <w:lang w:val="en-GB" w:eastAsia="zh-TW"/>
        </w:rPr>
        <w:t>/</w:t>
      </w:r>
      <w:r w:rsidRPr="00BA2FCB">
        <w:rPr>
          <w:color w:val="FF0000"/>
          <w:rtl/>
          <w:lang w:val="en-GB" w:eastAsia="zh-TW"/>
        </w:rPr>
        <w:t>##</w:t>
      </w:r>
      <w:r w:rsidRPr="00BA2FCB">
        <w:rPr>
          <w:rtl/>
          <w:lang w:val="en-GB" w:eastAsia="zh-TW"/>
        </w:rPr>
        <w:t xml:space="preserve">، الفقرتين </w:t>
      </w:r>
      <w:r w:rsidRPr="00BA2FCB">
        <w:rPr>
          <w:color w:val="FF0000"/>
          <w:rtl/>
          <w:lang w:val="en-GB" w:eastAsia="zh-TW"/>
        </w:rPr>
        <w:t>#</w:t>
      </w:r>
      <w:r w:rsidRPr="00BA2FCB">
        <w:rPr>
          <w:rtl/>
          <w:lang w:val="en-GB" w:eastAsia="zh-TW"/>
        </w:rPr>
        <w:t xml:space="preserve"> و</w:t>
      </w:r>
      <w:r w:rsidRPr="00BA2FCB">
        <w:rPr>
          <w:color w:val="FF0000"/>
          <w:rtl/>
          <w:lang w:val="en-GB" w:eastAsia="zh-TW"/>
        </w:rPr>
        <w:t>#</w:t>
      </w:r>
      <w:r w:rsidRPr="00BA2FCB">
        <w:rPr>
          <w:rtl/>
          <w:lang w:val="en-GB" w:eastAsia="zh-T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3315DA" w:rsidP="00E61B92">
    <w:pPr>
      <w:pStyle w:val="En-tte"/>
      <w:jc w:val="right"/>
    </w:pPr>
    <w:r>
      <w:fldChar w:fldCharType="begin"/>
    </w:r>
    <w:r>
      <w:instrText xml:space="preserve"> DOCPROPERTY  symh  \* MERGEFORMAT </w:instrText>
    </w:r>
    <w:r>
      <w:fldChar w:fldCharType="separate"/>
    </w:r>
    <w:proofErr w:type="spellStart"/>
    <w:r w:rsidR="00C3786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3315DA">
    <w:pPr>
      <w:pStyle w:val="En-tte"/>
    </w:pPr>
    <w:r>
      <w:fldChar w:fldCharType="begin"/>
    </w:r>
    <w:r>
      <w:instrText xml:space="preserve"> DOCPROPERTY  symh  \* MERGEFORMAT </w:instrText>
    </w:r>
    <w:r>
      <w:fldChar w:fldCharType="separate"/>
    </w:r>
    <w:proofErr w:type="spellStart"/>
    <w:r w:rsidR="00C37868">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proofState w:spelling="clean"/>
  <w:defaultTabStop w:val="680"/>
  <w:hyphenationZone w:val="425"/>
  <w:evenAndOddHeaders/>
  <w:characterSpacingControl w:val="doNotCompress"/>
  <w:hdrShapeDefaults>
    <o:shapedefaults v:ext="edit" spidmax="12492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76D5"/>
    <w:rsid w:val="00010C55"/>
    <w:rsid w:val="00024732"/>
    <w:rsid w:val="00043663"/>
    <w:rsid w:val="00047E5A"/>
    <w:rsid w:val="000505CF"/>
    <w:rsid w:val="000671EC"/>
    <w:rsid w:val="000A2113"/>
    <w:rsid w:val="000A354B"/>
    <w:rsid w:val="000C196E"/>
    <w:rsid w:val="000D701C"/>
    <w:rsid w:val="000E1A26"/>
    <w:rsid w:val="000E2612"/>
    <w:rsid w:val="000E2A71"/>
    <w:rsid w:val="000E4D6C"/>
    <w:rsid w:val="000F5AD2"/>
    <w:rsid w:val="0011410B"/>
    <w:rsid w:val="001467EC"/>
    <w:rsid w:val="00160263"/>
    <w:rsid w:val="00167825"/>
    <w:rsid w:val="00181F96"/>
    <w:rsid w:val="0018231C"/>
    <w:rsid w:val="001A1371"/>
    <w:rsid w:val="001B346A"/>
    <w:rsid w:val="001E1CAD"/>
    <w:rsid w:val="001E290D"/>
    <w:rsid w:val="002144FA"/>
    <w:rsid w:val="002234D2"/>
    <w:rsid w:val="0023469A"/>
    <w:rsid w:val="00243C8A"/>
    <w:rsid w:val="00262072"/>
    <w:rsid w:val="00267A0E"/>
    <w:rsid w:val="002901D9"/>
    <w:rsid w:val="002976C2"/>
    <w:rsid w:val="002C40DA"/>
    <w:rsid w:val="003260FF"/>
    <w:rsid w:val="003315DA"/>
    <w:rsid w:val="00334ADD"/>
    <w:rsid w:val="00343D95"/>
    <w:rsid w:val="00373102"/>
    <w:rsid w:val="00374341"/>
    <w:rsid w:val="00380ACD"/>
    <w:rsid w:val="00384DA7"/>
    <w:rsid w:val="003A79A4"/>
    <w:rsid w:val="003B45AB"/>
    <w:rsid w:val="003D1062"/>
    <w:rsid w:val="004058B8"/>
    <w:rsid w:val="0040711A"/>
    <w:rsid w:val="00420D7B"/>
    <w:rsid w:val="00450B21"/>
    <w:rsid w:val="00453B63"/>
    <w:rsid w:val="00455780"/>
    <w:rsid w:val="0048656B"/>
    <w:rsid w:val="004908D8"/>
    <w:rsid w:val="00492D24"/>
    <w:rsid w:val="004956DC"/>
    <w:rsid w:val="004B0A1C"/>
    <w:rsid w:val="004B4257"/>
    <w:rsid w:val="004D298E"/>
    <w:rsid w:val="0054472E"/>
    <w:rsid w:val="00562315"/>
    <w:rsid w:val="00562772"/>
    <w:rsid w:val="00565712"/>
    <w:rsid w:val="005662A9"/>
    <w:rsid w:val="005827D4"/>
    <w:rsid w:val="00592ACD"/>
    <w:rsid w:val="0059622A"/>
    <w:rsid w:val="005A3015"/>
    <w:rsid w:val="005C5878"/>
    <w:rsid w:val="005C7CEA"/>
    <w:rsid w:val="005D3C0B"/>
    <w:rsid w:val="005E5217"/>
    <w:rsid w:val="005F0FA4"/>
    <w:rsid w:val="005F30EE"/>
    <w:rsid w:val="0060473A"/>
    <w:rsid w:val="00630627"/>
    <w:rsid w:val="00652AE9"/>
    <w:rsid w:val="00656392"/>
    <w:rsid w:val="006646E9"/>
    <w:rsid w:val="0068781D"/>
    <w:rsid w:val="006959B0"/>
    <w:rsid w:val="006B0634"/>
    <w:rsid w:val="006B3E27"/>
    <w:rsid w:val="006B6507"/>
    <w:rsid w:val="006C104C"/>
    <w:rsid w:val="006E43F4"/>
    <w:rsid w:val="00733704"/>
    <w:rsid w:val="007576BE"/>
    <w:rsid w:val="00761849"/>
    <w:rsid w:val="0078071A"/>
    <w:rsid w:val="00793EC8"/>
    <w:rsid w:val="00800BB4"/>
    <w:rsid w:val="00817373"/>
    <w:rsid w:val="00817D80"/>
    <w:rsid w:val="00852A9A"/>
    <w:rsid w:val="00876BC6"/>
    <w:rsid w:val="00893A8A"/>
    <w:rsid w:val="008D11C9"/>
    <w:rsid w:val="008F0FC5"/>
    <w:rsid w:val="008F49E1"/>
    <w:rsid w:val="0090370F"/>
    <w:rsid w:val="009269D2"/>
    <w:rsid w:val="00942135"/>
    <w:rsid w:val="00943D3C"/>
    <w:rsid w:val="009521B0"/>
    <w:rsid w:val="00957053"/>
    <w:rsid w:val="009817B1"/>
    <w:rsid w:val="00981C12"/>
    <w:rsid w:val="00993C68"/>
    <w:rsid w:val="009A7E9F"/>
    <w:rsid w:val="009B1C5D"/>
    <w:rsid w:val="009E1133"/>
    <w:rsid w:val="009E5018"/>
    <w:rsid w:val="009E5456"/>
    <w:rsid w:val="00A04297"/>
    <w:rsid w:val="00A12B37"/>
    <w:rsid w:val="00A34EA8"/>
    <w:rsid w:val="00A43A19"/>
    <w:rsid w:val="00A473FF"/>
    <w:rsid w:val="00A51334"/>
    <w:rsid w:val="00A53B98"/>
    <w:rsid w:val="00A65899"/>
    <w:rsid w:val="00A67AF5"/>
    <w:rsid w:val="00A93D50"/>
    <w:rsid w:val="00A94CA3"/>
    <w:rsid w:val="00AB6758"/>
    <w:rsid w:val="00AD014E"/>
    <w:rsid w:val="00AE40F1"/>
    <w:rsid w:val="00B10943"/>
    <w:rsid w:val="00B13763"/>
    <w:rsid w:val="00B17C70"/>
    <w:rsid w:val="00B2689A"/>
    <w:rsid w:val="00B44590"/>
    <w:rsid w:val="00B477A4"/>
    <w:rsid w:val="00B54045"/>
    <w:rsid w:val="00B75EE3"/>
    <w:rsid w:val="00BC588D"/>
    <w:rsid w:val="00BF3BEF"/>
    <w:rsid w:val="00C11192"/>
    <w:rsid w:val="00C17F74"/>
    <w:rsid w:val="00C246A8"/>
    <w:rsid w:val="00C37868"/>
    <w:rsid w:val="00C438D7"/>
    <w:rsid w:val="00C51057"/>
    <w:rsid w:val="00C639B7"/>
    <w:rsid w:val="00C71AB4"/>
    <w:rsid w:val="00C71DEE"/>
    <w:rsid w:val="00C71E1C"/>
    <w:rsid w:val="00C81B50"/>
    <w:rsid w:val="00C87F1F"/>
    <w:rsid w:val="00CB437F"/>
    <w:rsid w:val="00CD1801"/>
    <w:rsid w:val="00CD63DA"/>
    <w:rsid w:val="00D10EF1"/>
    <w:rsid w:val="00D2043A"/>
    <w:rsid w:val="00D42810"/>
    <w:rsid w:val="00D57010"/>
    <w:rsid w:val="00D84435"/>
    <w:rsid w:val="00D914A7"/>
    <w:rsid w:val="00DC1D29"/>
    <w:rsid w:val="00DD13C3"/>
    <w:rsid w:val="00DD596E"/>
    <w:rsid w:val="00DD621E"/>
    <w:rsid w:val="00DF0575"/>
    <w:rsid w:val="00DF15A0"/>
    <w:rsid w:val="00E254FD"/>
    <w:rsid w:val="00E31AD4"/>
    <w:rsid w:val="00E61B92"/>
    <w:rsid w:val="00E70E04"/>
    <w:rsid w:val="00E71938"/>
    <w:rsid w:val="00E76499"/>
    <w:rsid w:val="00E90705"/>
    <w:rsid w:val="00EC05A7"/>
    <w:rsid w:val="00EC4B6B"/>
    <w:rsid w:val="00EF1EE5"/>
    <w:rsid w:val="00EF7CF3"/>
    <w:rsid w:val="00F302BC"/>
    <w:rsid w:val="00F33063"/>
    <w:rsid w:val="00F56723"/>
    <w:rsid w:val="00F763B4"/>
    <w:rsid w:val="00F900C3"/>
    <w:rsid w:val="00F9404A"/>
    <w:rsid w:val="00FF2AB2"/>
    <w:rsid w:val="00FF6ECD"/>
    <w:rsid w:val="00FF7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4929"/>
    <o:shapelayout v:ext="edit">
      <o:idmap v:ext="edit" data="1"/>
    </o:shapelayout>
  </w:shapeDefaults>
  <w:decimalSymbol w:val=","/>
  <w:listSeparator w:val=";"/>
  <w14:docId w14:val="451EC4E9"/>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4_G Char Char,Appel note de bas de page Char Char,Appel note de bas de page Char Char Char Char Char Char Char Char Char Char Char Char Char Char Char Char Char Char Char Char"/>
    <w:basedOn w:val="Policepardfaut"/>
    <w:link w:val="4GChar"/>
    <w:uiPriority w:val="99"/>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aliases w:val="1_G"/>
    <w:basedOn w:val="Policepardfaut"/>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Appelnotedebasdep"/>
    <w:uiPriority w:val="99"/>
    <w:rsid w:val="008F0FC5"/>
    <w:pPr>
      <w:bidi w:val="0"/>
      <w:spacing w:line="240" w:lineRule="auto"/>
      <w:jc w:val="both"/>
    </w:pPr>
    <w:rPr>
      <w:b/>
      <w:sz w:val="18"/>
      <w:szCs w:val="2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10D19-4B8E-49A3-AE4C-5F2DCAE89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863</Words>
  <Characters>4749</Characters>
  <Application>Microsoft Office Word</Application>
  <DocSecurity>0</DocSecurity>
  <Lines>39</Lines>
  <Paragraphs>11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50</cp:revision>
  <cp:lastPrinted>2018-06-25T07:46:00Z</cp:lastPrinted>
  <dcterms:created xsi:type="dcterms:W3CDTF">2018-06-22T08:39:00Z</dcterms:created>
  <dcterms:modified xsi:type="dcterms:W3CDTF">2018-10-23T13:55:00Z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