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pStyle w:val="H4G"/>
              <w:rPr>
                <w:i w:val="0"/>
                <w:iCs/>
              </w:rPr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>
      <w:pPr>
        <w:pStyle w:val="HChG"/>
        <w:rPr>
          <w:rFonts w:eastAsia="SimSun"/>
          <w:b w:val="0"/>
          <w:bCs/>
          <w:sz w:val="20"/>
        </w:rPr>
      </w:pPr>
      <w:r>
        <w:rPr>
          <w:rFonts w:eastAsia="SimSun"/>
        </w:rPr>
        <w:tab/>
      </w:r>
      <w:r>
        <w:rPr>
          <w:rFonts w:eastAsia="SimSun"/>
        </w:rPr>
        <w:tab/>
        <w:t xml:space="preserve">List of issues in relation to the </w: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DOCPROPERTY  prep  \* MERGEFORMAT </w:instrText>
      </w:r>
      <w:r>
        <w:rPr>
          <w:rFonts w:eastAsia="SimSun"/>
        </w:rPr>
        <w:fldChar w:fldCharType="separate"/>
      </w:r>
      <w:r>
        <w:rPr>
          <w:rFonts w:eastAsia="SimSun"/>
        </w:rPr>
        <w:t>prep</w:t>
      </w:r>
      <w:r>
        <w:rPr>
          <w:rFonts w:eastAsia="SimSun"/>
        </w:rPr>
        <w:fldChar w:fldCharType="end"/>
      </w:r>
      <w:r>
        <w:rPr>
          <w:rStyle w:val="Appelnotedebasdep"/>
          <w:rFonts w:eastAsia="SimSun"/>
          <w:b w:val="0"/>
          <w:bCs/>
          <w:sz w:val="20"/>
          <w:vertAlign w:val="baseline"/>
        </w:rPr>
        <w:footnoteReference w:customMarkFollows="1" w:id="2"/>
        <w:t>*</w:t>
      </w:r>
    </w:p>
    <w:p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Articles 1 and 4</w:t>
      </w:r>
    </w:p>
    <w:p>
      <w:pPr>
        <w:pStyle w:val="SingleTxtG"/>
      </w:pPr>
      <w:r>
        <w:t>1.</w:t>
      </w:r>
      <w:r>
        <w:tab/>
        <w:t>With reference to the Committee’s previous recommendations (see CAT/C/</w:t>
      </w:r>
      <w:r>
        <w:rPr>
          <w:color w:val="FF0000"/>
        </w:rPr>
        <w:t>XXX</w:t>
      </w:r>
      <w:r>
        <w:t>/</w:t>
      </w:r>
      <w:r>
        <w:rPr>
          <w:color w:val="FF0000"/>
        </w:rPr>
        <w:t>Y</w:t>
      </w:r>
      <w:r>
        <w:t xml:space="preserve">, paras. </w:t>
      </w:r>
      <w:r>
        <w:rPr>
          <w:color w:val="FF0000"/>
        </w:rPr>
        <w:t>X</w:t>
      </w:r>
      <w:r>
        <w:t>-</w:t>
      </w:r>
      <w:r>
        <w:rPr>
          <w:color w:val="FF0000"/>
        </w:rPr>
        <w:t>X</w:t>
      </w:r>
      <w:r>
        <w:t>),</w:t>
      </w:r>
      <w:r>
        <w:rPr>
          <w:rStyle w:val="Appelnotedebasdep"/>
        </w:rPr>
        <w:footnoteReference w:id="3"/>
      </w:r>
      <w:r>
        <w:t xml:space="preserve"> please provide updated information on </w:t>
      </w:r>
      <w:r>
        <w:rPr>
          <w:color w:val="FF0000"/>
        </w:rPr>
        <w:t>…</w:t>
      </w:r>
      <w:r>
        <w:t>.</w:t>
      </w:r>
    </w:p>
    <w:p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2</w:t>
      </w:r>
      <w:r>
        <w:rPr>
          <w:rStyle w:val="Appelnotedebasdep"/>
          <w:rFonts w:eastAsia="SimSun"/>
          <w:b w:val="0"/>
          <w:bCs/>
        </w:rPr>
        <w:footnoteReference w:id="4"/>
      </w:r>
    </w:p>
    <w:p>
      <w:pPr>
        <w:pStyle w:val="SingleTxtG"/>
      </w:pPr>
      <w:r>
        <w:t>2.</w:t>
      </w:r>
      <w:r>
        <w:tab/>
      </w:r>
      <w:r>
        <w:rPr>
          <w:color w:val="FF0000"/>
        </w:rPr>
        <w:t>…</w:t>
      </w:r>
    </w:p>
    <w:p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Articles 5-9</w:t>
      </w:r>
    </w:p>
    <w:p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10</w:t>
      </w:r>
    </w:p>
    <w:p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11</w:t>
      </w:r>
    </w:p>
    <w:p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Articles 12-13</w:t>
      </w:r>
    </w:p>
    <w:p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14</w:t>
      </w:r>
    </w:p>
    <w:p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16</w:t>
      </w:r>
    </w:p>
    <w:p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Other issues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  <w:hideMark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</w:pPr>
      <w:r>
        <w:rPr>
          <w:rStyle w:val="Appelnotedebasdep"/>
        </w:rPr>
        <w:tab/>
      </w:r>
      <w:r>
        <w:rPr>
          <w:rStyle w:val="Appelnotedebasdep"/>
          <w:sz w:val="20"/>
          <w:vertAlign w:val="baseline"/>
        </w:rPr>
        <w:t>*</w:t>
      </w:r>
      <w:r>
        <w:tab/>
        <w:t xml:space="preserve">Adopted by the Committee at its </w:t>
      </w:r>
      <w:r>
        <w:rPr>
          <w:color w:val="FF0000"/>
        </w:rPr>
        <w:t>number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  <w:footnote w:id="3">
    <w:p>
      <w:pPr>
        <w:pStyle w:val="Notedebasdepage"/>
        <w:widowControl w:val="0"/>
        <w:tabs>
          <w:tab w:val="clear" w:pos="1021"/>
          <w:tab w:val="right" w:pos="1020"/>
        </w:tabs>
      </w:pPr>
      <w:r>
        <w:tab/>
      </w:r>
      <w:r>
        <w:rPr>
          <w:rStyle w:val="Appelnotedebasdep"/>
        </w:rPr>
        <w:footnoteRef/>
      </w:r>
      <w:r>
        <w:tab/>
        <w:t>Unless otherwise indicated, paragraph numbers in parentheses refer to the previous concluding observations adopted by the Committee.</w:t>
      </w:r>
    </w:p>
  </w:footnote>
  <w:footnote w:id="4">
    <w:p>
      <w:pPr>
        <w:pStyle w:val="Notedebasdepage"/>
        <w:widowControl w:val="0"/>
        <w:tabs>
          <w:tab w:val="clear" w:pos="1021"/>
          <w:tab w:val="right" w:pos="1020"/>
        </w:tabs>
      </w:pPr>
      <w:r>
        <w:tab/>
      </w:r>
      <w:r>
        <w:rPr>
          <w:rStyle w:val="Appelnotedebasdep"/>
        </w:rPr>
        <w:footnoteRef/>
      </w:r>
      <w:r>
        <w:tab/>
        <w:t>The issues raised under article 2 could also touch on issues raised under other articles of the Convention, including article 16. As stated in paragraph 3 of the Committee’s general comment No. 2 (2007) on the implementation of article 2 by States parties, the obligation to prevent torture in article 2 is wide-ranging. The obligations to prevent torture and other cruel, inhuman or degrading treatment or punishment under article 16 (1) are indivisible, interdependent and interrelated. The obligation to prevent such ill-treatment in practice overlaps with and is largely congruent with the obligation to prevent torture. In practice, the definitional threshold between ill-treatment and torture is often not clear. See also chapter V of the same general comment.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CB7B0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8703AB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B6D49E8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0"/>
  </w:num>
  <w:num w:numId="17">
    <w:abstractNumId w:val="11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A54584F8-F353-46D8-90DA-63119CEF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aconcuadrcula1">
    <w:name w:val="Tabla con cuadrícula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19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4</cp:revision>
  <cp:lastPrinted>2017-04-21T12:24:00Z</cp:lastPrinted>
  <dcterms:created xsi:type="dcterms:W3CDTF">2017-07-18T15:00:00Z</dcterms:created>
  <dcterms:modified xsi:type="dcterms:W3CDTF">2018-03-22T14:59:00Z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