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6163C">
        <w:trPr>
          <w:cantSplit/>
          <w:trHeight w:hRule="exact" w:val="851"/>
        </w:trPr>
        <w:tc>
          <w:tcPr>
            <w:tcW w:w="1276" w:type="dxa"/>
            <w:tcBorders>
              <w:bottom w:val="single" w:sz="4" w:space="0" w:color="auto"/>
            </w:tcBorders>
            <w:vAlign w:val="bottom"/>
          </w:tcPr>
          <w:p w:rsidR="0016163C" w:rsidRDefault="0016163C">
            <w:pPr>
              <w:spacing w:after="80"/>
            </w:pPr>
          </w:p>
        </w:tc>
        <w:tc>
          <w:tcPr>
            <w:tcW w:w="2268" w:type="dxa"/>
            <w:tcBorders>
              <w:bottom w:val="single" w:sz="4" w:space="0" w:color="auto"/>
            </w:tcBorders>
            <w:vAlign w:val="bottom"/>
          </w:tcPr>
          <w:p w:rsidR="0016163C" w:rsidRDefault="005F30A0">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16163C" w:rsidRDefault="005F30A0">
            <w:pPr>
              <w:suppressAutoHyphens w:val="0"/>
              <w:spacing w:after="20"/>
              <w:jc w:val="right"/>
            </w:pPr>
            <w:r>
              <w:rPr>
                <w:sz w:val="40"/>
              </w:rPr>
              <w:t>CAT</w:t>
            </w:r>
            <w:r>
              <w:t>/</w:t>
            </w:r>
            <w:proofErr w:type="spellStart"/>
            <w:r>
              <w:fldChar w:fldCharType="begin"/>
            </w:r>
            <w:r>
              <w:instrText xml:space="preserve"> DOCPROPERTY  sym1  \* MERGEFORMAT </w:instrText>
            </w:r>
            <w:r>
              <w:fldChar w:fldCharType="separate"/>
            </w:r>
            <w:r>
              <w:t>sym1</w:t>
            </w:r>
            <w:proofErr w:type="spellEnd"/>
            <w:r>
              <w:fldChar w:fldCharType="end"/>
            </w:r>
          </w:p>
        </w:tc>
      </w:tr>
      <w:tr w:rsidR="0016163C">
        <w:trPr>
          <w:cantSplit/>
          <w:trHeight w:hRule="exact" w:val="2835"/>
        </w:trPr>
        <w:tc>
          <w:tcPr>
            <w:tcW w:w="1276" w:type="dxa"/>
            <w:tcBorders>
              <w:top w:val="single" w:sz="4" w:space="0" w:color="auto"/>
              <w:bottom w:val="single" w:sz="12" w:space="0" w:color="auto"/>
            </w:tcBorders>
          </w:tcPr>
          <w:p w:rsidR="0016163C" w:rsidRDefault="005F30A0">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6163C" w:rsidRDefault="005F30A0">
            <w:pPr>
              <w:spacing w:before="120" w:line="380" w:lineRule="exact"/>
            </w:pPr>
            <w:r>
              <w:rPr>
                <w:b/>
                <w:sz w:val="34"/>
                <w:szCs w:val="40"/>
              </w:rPr>
              <w:t>Convention against Torture</w:t>
            </w:r>
            <w:r>
              <w:rPr>
                <w:b/>
                <w:sz w:val="34"/>
                <w:szCs w:val="40"/>
              </w:rPr>
              <w:br/>
              <w:t>and Other Cruel, Inhuman</w:t>
            </w:r>
            <w:r>
              <w:rPr>
                <w:b/>
                <w:sz w:val="34"/>
                <w:szCs w:val="40"/>
              </w:rPr>
              <w:br/>
              <w:t>or Degrading Treatment</w:t>
            </w:r>
            <w:r>
              <w:rPr>
                <w:b/>
                <w:sz w:val="34"/>
                <w:szCs w:val="40"/>
              </w:rPr>
              <w:br/>
              <w:t>or Punishment</w:t>
            </w:r>
          </w:p>
        </w:tc>
        <w:tc>
          <w:tcPr>
            <w:tcW w:w="2835" w:type="dxa"/>
            <w:tcBorders>
              <w:top w:val="single" w:sz="4" w:space="0" w:color="auto"/>
              <w:bottom w:val="single" w:sz="12" w:space="0" w:color="auto"/>
            </w:tcBorders>
          </w:tcPr>
          <w:p w:rsidR="0016163C" w:rsidRDefault="005F30A0">
            <w:pPr>
              <w:suppressAutoHyphens w:val="0"/>
              <w:spacing w:before="240" w:line="240" w:lineRule="exact"/>
            </w:pPr>
            <w:r>
              <w:t xml:space="preserve">Distr.: </w:t>
            </w:r>
            <w:r>
              <w:fldChar w:fldCharType="begin"/>
            </w:r>
            <w:r>
              <w:instrText xml:space="preserve"> DOCPROPERTY  dist  \* MERGEFORMAT </w:instrText>
            </w:r>
            <w:r>
              <w:fldChar w:fldCharType="separate"/>
            </w:r>
            <w:proofErr w:type="spellStart"/>
            <w:r>
              <w:t>Dist</w:t>
            </w:r>
            <w:proofErr w:type="spellEnd"/>
            <w:r>
              <w:fldChar w:fldCharType="end"/>
            </w:r>
          </w:p>
          <w:p w:rsidR="0016163C" w:rsidRDefault="005F30A0">
            <w:pPr>
              <w:suppressAutoHyphens w:val="0"/>
            </w:pPr>
            <w:r>
              <w:fldChar w:fldCharType="begin"/>
            </w:r>
            <w:r>
              <w:instrText xml:space="preserve"> DOCPROPERTY  date  \* MERGEFORMAT </w:instrText>
            </w:r>
            <w:r>
              <w:fldChar w:fldCharType="separate"/>
            </w:r>
            <w:r>
              <w:t>date</w:t>
            </w:r>
            <w:r>
              <w:fldChar w:fldCharType="end"/>
            </w:r>
          </w:p>
          <w:p w:rsidR="0016163C" w:rsidRDefault="005F30A0">
            <w:pPr>
              <w:suppressAutoHyphens w:val="0"/>
            </w:pPr>
            <w:r>
              <w:fldChar w:fldCharType="begin"/>
            </w:r>
            <w:r>
              <w:instrText xml:space="preserve"> DOCPROPERTY  tlang  \* MERGEFORMAT </w:instrText>
            </w:r>
            <w:r>
              <w:fldChar w:fldCharType="separate"/>
            </w:r>
            <w:proofErr w:type="spellStart"/>
            <w:r>
              <w:t>tlang</w:t>
            </w:r>
            <w:proofErr w:type="spellEnd"/>
            <w:r>
              <w:fldChar w:fldCharType="end"/>
            </w:r>
          </w:p>
          <w:p w:rsidR="0016163C" w:rsidRDefault="005F30A0">
            <w:pPr>
              <w:suppressAutoHyphens w:val="0"/>
            </w:pPr>
            <w:r>
              <w:t xml:space="preserve">Original: </w:t>
            </w:r>
            <w:r>
              <w:fldChar w:fldCharType="begin"/>
            </w:r>
            <w:r>
              <w:instrText xml:space="preserve"> DOCPROPERTY  olang  \* MERGEFORMAT </w:instrText>
            </w:r>
            <w:r>
              <w:fldChar w:fldCharType="separate"/>
            </w:r>
            <w:proofErr w:type="spellStart"/>
            <w:r>
              <w:t>olang</w:t>
            </w:r>
            <w:proofErr w:type="spellEnd"/>
            <w:r>
              <w:fldChar w:fldCharType="end"/>
            </w:r>
          </w:p>
          <w:p w:rsidR="0016163C" w:rsidRDefault="005F30A0">
            <w:pPr>
              <w:suppressAutoHyphens w:val="0"/>
            </w:pPr>
            <w:r>
              <w:fldChar w:fldCharType="begin"/>
            </w:r>
            <w:r>
              <w:instrText xml:space="preserve"> DOCPROPERTY  virs  \* MERGEFORMAT </w:instrText>
            </w:r>
            <w:r>
              <w:fldChar w:fldCharType="separate"/>
            </w:r>
            <w:proofErr w:type="spellStart"/>
            <w:r>
              <w:t>virs</w:t>
            </w:r>
            <w:proofErr w:type="spellEnd"/>
            <w:r>
              <w:fldChar w:fldCharType="end"/>
            </w:r>
          </w:p>
        </w:tc>
      </w:tr>
    </w:tbl>
    <w:p w:rsidR="0016163C" w:rsidRDefault="005F30A0">
      <w:pPr>
        <w:spacing w:before="120"/>
        <w:rPr>
          <w:b/>
          <w:sz w:val="24"/>
          <w:szCs w:val="24"/>
        </w:rPr>
      </w:pPr>
      <w:r>
        <w:rPr>
          <w:b/>
          <w:sz w:val="24"/>
          <w:szCs w:val="24"/>
        </w:rPr>
        <w:t>Committee against Torture</w:t>
      </w:r>
    </w:p>
    <w:p w:rsidR="0016163C" w:rsidRDefault="005F30A0">
      <w:pPr>
        <w:pStyle w:val="HChG"/>
      </w:pPr>
      <w:r>
        <w:tab/>
      </w:r>
      <w:r>
        <w:tab/>
      </w:r>
      <w:r>
        <w:t xml:space="preserve">Concluding observations on the </w:t>
      </w:r>
      <w:r>
        <w:fldChar w:fldCharType="begin"/>
      </w:r>
      <w:r>
        <w:instrText xml:space="preserve"> DOCPROPERTY  prep  \* MERGEFORMAT </w:instrText>
      </w:r>
      <w:r>
        <w:fldChar w:fldCharType="separate"/>
      </w:r>
      <w:r>
        <w:t>prep</w:t>
      </w:r>
      <w:r>
        <w:fldChar w:fldCharType="end"/>
      </w:r>
      <w:r>
        <w:rPr>
          <w:rStyle w:val="FootnoteReference"/>
          <w:b w:val="0"/>
          <w:sz w:val="20"/>
          <w:vertAlign w:val="baseline"/>
        </w:rPr>
        <w:footnoteReference w:customMarkFollows="1" w:id="2"/>
        <w:t>*</w:t>
      </w:r>
    </w:p>
    <w:p w:rsidR="0016163C" w:rsidRDefault="005F30A0">
      <w:pPr>
        <w:pStyle w:val="SingleTxtG"/>
      </w:pPr>
      <w:r>
        <w:t>1.</w:t>
      </w:r>
      <w:r>
        <w:tab/>
        <w:t xml:space="preserve">The Committee against Torture considered the </w:t>
      </w:r>
      <w:r>
        <w:rPr>
          <w:color w:val="FF0000"/>
        </w:rPr>
        <w:t>[initial] [combined number periodic] [number periodic]</w:t>
      </w:r>
      <w:r>
        <w:t xml:space="preserve"> report</w:t>
      </w:r>
      <w:r>
        <w:rPr>
          <w:color w:val="FF0000"/>
        </w:rPr>
        <w:t xml:space="preserve">s </w:t>
      </w:r>
      <w:r>
        <w:t xml:space="preserve">of </w:t>
      </w:r>
      <w:r>
        <w:rPr>
          <w:color w:val="FF0000"/>
        </w:rPr>
        <w:t>country</w:t>
      </w:r>
      <w:r>
        <w:t xml:space="preserve"> (CAT/C/</w:t>
      </w:r>
      <w:r>
        <w:rPr>
          <w:color w:val="FF0000"/>
        </w:rPr>
        <w:t>XXX</w:t>
      </w:r>
      <w:r>
        <w:t>/</w:t>
      </w:r>
      <w:r>
        <w:rPr>
          <w:color w:val="FF0000"/>
        </w:rPr>
        <w:t>Y</w:t>
      </w:r>
      <w:r>
        <w:t xml:space="preserve">) at its </w:t>
      </w:r>
      <w:r>
        <w:rPr>
          <w:color w:val="FF0000"/>
        </w:rPr>
        <w:t>number</w:t>
      </w:r>
      <w:r>
        <w:t xml:space="preserve"> and </w:t>
      </w:r>
      <w:r>
        <w:rPr>
          <w:color w:val="FF0000"/>
        </w:rPr>
        <w:t xml:space="preserve">number </w:t>
      </w:r>
      <w:r>
        <w:t xml:space="preserve">meetings (see </w:t>
      </w:r>
      <w:r>
        <w:t>CAT/C/</w:t>
      </w:r>
      <w:proofErr w:type="spellStart"/>
      <w:r>
        <w:t>SR.</w:t>
      </w:r>
      <w:r>
        <w:rPr>
          <w:color w:val="FF0000"/>
        </w:rPr>
        <w:t>XXX</w:t>
      </w:r>
      <w:proofErr w:type="spellEnd"/>
      <w:r>
        <w:rPr>
          <w:color w:val="FF0000"/>
        </w:rPr>
        <w:t xml:space="preserve"> </w:t>
      </w:r>
      <w:r>
        <w:t xml:space="preserve">and </w:t>
      </w:r>
      <w:r>
        <w:rPr>
          <w:color w:val="FF0000"/>
        </w:rPr>
        <w:t>XXX</w:t>
      </w:r>
      <w:r>
        <w:t xml:space="preserve">), held on </w:t>
      </w:r>
      <w:r>
        <w:rPr>
          <w:color w:val="FF0000"/>
        </w:rPr>
        <w:t>date</w:t>
      </w:r>
      <w:r>
        <w:t xml:space="preserve"> and </w:t>
      </w:r>
      <w:r>
        <w:rPr>
          <w:color w:val="FF0000"/>
        </w:rPr>
        <w:t>date</w:t>
      </w:r>
      <w:r>
        <w:t xml:space="preserve">, and adopted the present concluding observations at its </w:t>
      </w:r>
      <w:r>
        <w:rPr>
          <w:color w:val="FF0000"/>
        </w:rPr>
        <w:t>number</w:t>
      </w:r>
      <w:r>
        <w:t xml:space="preserve"> meeting, held on </w:t>
      </w:r>
      <w:r>
        <w:rPr>
          <w:color w:val="FF0000"/>
        </w:rPr>
        <w:t>date</w:t>
      </w:r>
      <w:r>
        <w:t>.</w:t>
      </w:r>
    </w:p>
    <w:p w:rsidR="0016163C" w:rsidRDefault="005F30A0">
      <w:pPr>
        <w:pStyle w:val="H1G"/>
      </w:pPr>
      <w:r>
        <w:tab/>
        <w:t>A.</w:t>
      </w:r>
      <w:r>
        <w:tab/>
        <w:t>Introduction</w:t>
      </w:r>
    </w:p>
    <w:p w:rsidR="0016163C" w:rsidRDefault="005F30A0">
      <w:pPr>
        <w:pStyle w:val="H1G"/>
      </w:pPr>
      <w:r>
        <w:tab/>
        <w:t>B.</w:t>
      </w:r>
      <w:r>
        <w:tab/>
        <w:t>Positive aspects</w:t>
      </w:r>
    </w:p>
    <w:p w:rsidR="0016163C" w:rsidRDefault="005F30A0">
      <w:pPr>
        <w:pStyle w:val="SingleTxtG"/>
      </w:pPr>
      <w:r>
        <w:t>3.</w:t>
      </w:r>
      <w:r>
        <w:tab/>
        <w:t xml:space="preserve">The Committee welcomes the ratification of or accession to the following </w:t>
      </w:r>
      <w:r>
        <w:t>international instruments by the State party:</w:t>
      </w:r>
    </w:p>
    <w:p w:rsidR="0016163C" w:rsidRDefault="005F30A0">
      <w:pPr>
        <w:pStyle w:val="SingleTxtG"/>
        <w:ind w:firstLine="567"/>
      </w:pPr>
      <w:r>
        <w:t>(a)</w:t>
      </w:r>
      <w:r>
        <w:tab/>
        <w:t xml:space="preserve">The </w:t>
      </w:r>
      <w:r>
        <w:rPr>
          <w:color w:val="FF0000"/>
        </w:rPr>
        <w:t>…</w:t>
      </w:r>
      <w:r>
        <w:t xml:space="preserve">, on </w:t>
      </w:r>
      <w:r>
        <w:rPr>
          <w:color w:val="FF0000"/>
        </w:rPr>
        <w:t>date</w:t>
      </w:r>
      <w:r>
        <w:t>;</w:t>
      </w:r>
    </w:p>
    <w:p w:rsidR="0016163C" w:rsidRDefault="005F30A0">
      <w:pPr>
        <w:pStyle w:val="SingleTxtG"/>
        <w:ind w:firstLine="567"/>
      </w:pPr>
      <w:r>
        <w:t>(b)</w:t>
      </w:r>
      <w:r>
        <w:tab/>
      </w:r>
    </w:p>
    <w:p w:rsidR="0016163C" w:rsidRDefault="005F30A0">
      <w:pPr>
        <w:pStyle w:val="SingleTxtG"/>
      </w:pPr>
      <w:r>
        <w:t>4.</w:t>
      </w:r>
      <w:r>
        <w:tab/>
        <w:t xml:space="preserve">The Committee also </w:t>
      </w:r>
      <w:r>
        <w:rPr>
          <w:color w:val="FF0000"/>
        </w:rPr>
        <w:t>welcomes [the following legislative measures taken by the State party] [the adoption of the following legislative measures by the State party] [the State party’s i</w:t>
      </w:r>
      <w:r>
        <w:rPr>
          <w:color w:val="FF0000"/>
        </w:rPr>
        <w:t>nitiatives to revise its legislation]</w:t>
      </w:r>
      <w:r>
        <w:t xml:space="preserve"> in areas of relevance to the Convention:</w:t>
      </w:r>
    </w:p>
    <w:p w:rsidR="0016163C" w:rsidRDefault="005F30A0">
      <w:pPr>
        <w:pStyle w:val="SingleTxtG"/>
        <w:ind w:firstLine="567"/>
      </w:pPr>
      <w:r>
        <w:t>(a)</w:t>
      </w:r>
      <w:r>
        <w:tab/>
        <w:t xml:space="preserve">The </w:t>
      </w:r>
      <w:r>
        <w:rPr>
          <w:color w:val="FF0000"/>
        </w:rPr>
        <w:t>…</w:t>
      </w:r>
      <w:r>
        <w:t>;</w:t>
      </w:r>
    </w:p>
    <w:p w:rsidR="0016163C" w:rsidRDefault="005F30A0">
      <w:pPr>
        <w:pStyle w:val="SingleTxtG"/>
        <w:ind w:firstLine="567"/>
      </w:pPr>
      <w:r>
        <w:t>(b)</w:t>
      </w:r>
      <w:r>
        <w:tab/>
      </w:r>
    </w:p>
    <w:p w:rsidR="0016163C" w:rsidRDefault="005F30A0">
      <w:pPr>
        <w:pStyle w:val="H1G"/>
      </w:pPr>
      <w:r>
        <w:tab/>
        <w:t>C.</w:t>
      </w:r>
      <w:r>
        <w:tab/>
        <w:t xml:space="preserve">Principal subjects of concern and recommendations </w:t>
      </w:r>
    </w:p>
    <w:p w:rsidR="0016163C" w:rsidRDefault="005F30A0">
      <w:pPr>
        <w:pStyle w:val="H23G"/>
      </w:pPr>
      <w:r>
        <w:tab/>
      </w:r>
      <w:r>
        <w:tab/>
        <w:t xml:space="preserve">Pending follow-up issues from the previous reporting cycle </w:t>
      </w:r>
    </w:p>
    <w:p w:rsidR="0016163C" w:rsidRDefault="005F30A0">
      <w:pPr>
        <w:pStyle w:val="SingleTxtG"/>
      </w:pPr>
      <w:r>
        <w:rPr>
          <w:color w:val="FF0000"/>
        </w:rPr>
        <w:t>[</w:t>
      </w:r>
      <w:r>
        <w:t>5.</w:t>
      </w:r>
      <w:r>
        <w:tab/>
        <w:t>The Committee notes with regret the Stat</w:t>
      </w:r>
      <w:r>
        <w:t>e party’s lack of compliance with the follow-up procedure...</w:t>
      </w:r>
      <w:r>
        <w:rPr>
          <w:color w:val="FF0000"/>
        </w:rPr>
        <w:t>]</w:t>
      </w:r>
    </w:p>
    <w:p w:rsidR="0016163C" w:rsidRDefault="005F30A0">
      <w:pPr>
        <w:pStyle w:val="SingleTxtG"/>
      </w:pPr>
      <w:r>
        <w:rPr>
          <w:color w:val="FF0000"/>
        </w:rPr>
        <w:t>[</w:t>
      </w:r>
      <w:r>
        <w:t>5.</w:t>
      </w:r>
      <w:r>
        <w:tab/>
        <w:t>The Committee notes with appreciation the State party’s compliance with the follow-up procedure…</w:t>
      </w:r>
      <w:r>
        <w:rPr>
          <w:color w:val="FF0000"/>
        </w:rPr>
        <w:t>]</w:t>
      </w:r>
    </w:p>
    <w:p w:rsidR="0016163C" w:rsidRDefault="005F30A0">
      <w:pPr>
        <w:pStyle w:val="SingleTxtG"/>
        <w:keepNext/>
      </w:pPr>
      <w:r>
        <w:rPr>
          <w:color w:val="FF0000"/>
        </w:rPr>
        <w:lastRenderedPageBreak/>
        <w:t>[</w:t>
      </w:r>
      <w:r>
        <w:t>5.</w:t>
      </w:r>
      <w:r>
        <w:tab/>
        <w:t>While noting with appreciation the information provided by the State party under the fol</w:t>
      </w:r>
      <w:r>
        <w:t>low-up procedure, the Committee regrets that…</w:t>
      </w:r>
      <w:r>
        <w:rPr>
          <w:color w:val="FF0000"/>
        </w:rPr>
        <w:t>]</w:t>
      </w:r>
    </w:p>
    <w:p w:rsidR="0016163C" w:rsidRDefault="005F30A0">
      <w:pPr>
        <w:pStyle w:val="H23G"/>
      </w:pPr>
      <w:r>
        <w:tab/>
      </w:r>
      <w:r>
        <w:tab/>
        <w:t>Definition of torture</w:t>
      </w:r>
    </w:p>
    <w:p w:rsidR="0016163C" w:rsidRDefault="005F30A0">
      <w:pPr>
        <w:pStyle w:val="H23G"/>
      </w:pPr>
      <w:r>
        <w:tab/>
      </w:r>
      <w:r>
        <w:tab/>
      </w:r>
      <w:r>
        <w:rPr>
          <w:color w:val="FF0000"/>
        </w:rPr>
        <w:t>[</w:t>
      </w:r>
      <w:r>
        <w:t xml:space="preserve">Data collection </w:t>
      </w:r>
    </w:p>
    <w:p w:rsidR="0016163C" w:rsidRDefault="005F30A0">
      <w:pPr>
        <w:pStyle w:val="SingleTxtG"/>
      </w:pPr>
      <w:r>
        <w:t>13.</w:t>
      </w:r>
      <w:r>
        <w:tab/>
        <w:t>The Committee regrets the absence of comprehensive and disaggregated data on complaints, investigations, prosecutions and convictions in cases of torture and ill</w:t>
      </w:r>
      <w:r>
        <w:t>-treatment by law enforcement, security, military and prison personnel.</w:t>
      </w:r>
    </w:p>
    <w:p w:rsidR="0016163C" w:rsidRDefault="005F30A0">
      <w:pPr>
        <w:pStyle w:val="SingleTxtG"/>
        <w:rPr>
          <w:b/>
          <w:bCs/>
        </w:rPr>
      </w:pPr>
      <w:r>
        <w:t>14.</w:t>
      </w:r>
      <w:r>
        <w:tab/>
      </w:r>
      <w:r>
        <w:rPr>
          <w:b/>
          <w:bCs/>
        </w:rPr>
        <w:t>The State party should compile statistical data relevant to the monitoring of the implementation of the Convention at the national level, including data on complaints, investigatio</w:t>
      </w:r>
      <w:r>
        <w:rPr>
          <w:b/>
          <w:bCs/>
        </w:rPr>
        <w:t>ns, prosecutions and convictions related to cases of torture and ill-treatment, … as well as on means of redress, including compensation and rehabilitation, provided to the victims.</w:t>
      </w:r>
      <w:r>
        <w:rPr>
          <w:b/>
          <w:bCs/>
          <w:color w:val="FF0000"/>
        </w:rPr>
        <w:t>]</w:t>
      </w:r>
    </w:p>
    <w:p w:rsidR="0016163C" w:rsidRDefault="005F30A0">
      <w:pPr>
        <w:pStyle w:val="H23G"/>
      </w:pPr>
      <w:r>
        <w:tab/>
      </w:r>
      <w:r>
        <w:tab/>
        <w:t>Follow-up procedure</w:t>
      </w:r>
    </w:p>
    <w:p w:rsidR="0016163C" w:rsidRDefault="005F30A0">
      <w:pPr>
        <w:pStyle w:val="SingleTxtG"/>
        <w:rPr>
          <w:b/>
          <w:bCs/>
        </w:rPr>
      </w:pPr>
      <w:r>
        <w:t>14.</w:t>
      </w:r>
      <w:r>
        <w:tab/>
      </w:r>
      <w:r>
        <w:rPr>
          <w:b/>
          <w:bCs/>
        </w:rPr>
        <w:t>The Committee requests the State party to provi</w:t>
      </w:r>
      <w:r>
        <w:rPr>
          <w:b/>
          <w:bCs/>
        </w:rPr>
        <w:t xml:space="preserve">de, by </w:t>
      </w:r>
      <w:r>
        <w:rPr>
          <w:b/>
          <w:bCs/>
          <w:color w:val="FF0000"/>
        </w:rPr>
        <w:t>date</w:t>
      </w:r>
      <w:r>
        <w:rPr>
          <w:b/>
          <w:bCs/>
        </w:rPr>
        <w:t xml:space="preserve">, information on follow-up to the Committee’s recommendations on … (see paras. </w:t>
      </w:r>
      <w:r>
        <w:rPr>
          <w:b/>
          <w:bCs/>
          <w:color w:val="FF0000"/>
        </w:rPr>
        <w:t>X</w:t>
      </w:r>
      <w:r>
        <w:rPr>
          <w:b/>
          <w:bCs/>
        </w:rPr>
        <w:t xml:space="preserve">, </w:t>
      </w:r>
      <w:r>
        <w:rPr>
          <w:b/>
          <w:bCs/>
          <w:color w:val="FF0000"/>
        </w:rPr>
        <w:t>X</w:t>
      </w:r>
      <w:r>
        <w:rPr>
          <w:b/>
          <w:bCs/>
        </w:rPr>
        <w:t xml:space="preserve">, </w:t>
      </w:r>
      <w:r>
        <w:rPr>
          <w:b/>
          <w:bCs/>
          <w:color w:val="FF0000"/>
        </w:rPr>
        <w:t>X</w:t>
      </w:r>
      <w:r>
        <w:rPr>
          <w:b/>
          <w:bCs/>
        </w:rPr>
        <w:t xml:space="preserve"> and </w:t>
      </w:r>
      <w:r>
        <w:rPr>
          <w:b/>
          <w:bCs/>
          <w:color w:val="FF0000"/>
        </w:rPr>
        <w:t>X</w:t>
      </w:r>
      <w:r>
        <w:rPr>
          <w:b/>
          <w:bCs/>
        </w:rPr>
        <w:t xml:space="preserve"> above). In that context, the State party is invited to inform the Committee about its plans for implementing, within the coming reporting period, some o</w:t>
      </w:r>
      <w:r>
        <w:rPr>
          <w:b/>
          <w:bCs/>
        </w:rPr>
        <w:t xml:space="preserve">r </w:t>
      </w:r>
      <w:proofErr w:type="gramStart"/>
      <w:r>
        <w:rPr>
          <w:b/>
          <w:bCs/>
        </w:rPr>
        <w:t>all of</w:t>
      </w:r>
      <w:proofErr w:type="gramEnd"/>
      <w:r>
        <w:rPr>
          <w:b/>
          <w:bCs/>
        </w:rPr>
        <w:t xml:space="preserve"> the remaining recommendations in the concluding observations.</w:t>
      </w:r>
    </w:p>
    <w:p w:rsidR="0016163C" w:rsidRDefault="005F30A0">
      <w:pPr>
        <w:pStyle w:val="H23G"/>
      </w:pPr>
      <w:r>
        <w:tab/>
      </w:r>
      <w:r>
        <w:tab/>
        <w:t>Other issues</w:t>
      </w:r>
    </w:p>
    <w:p w:rsidR="0016163C" w:rsidRDefault="005F30A0">
      <w:pPr>
        <w:pStyle w:val="SingleTxtG"/>
        <w:rPr>
          <w:b/>
          <w:bCs/>
        </w:rPr>
      </w:pPr>
      <w:r>
        <w:t>16.</w:t>
      </w:r>
      <w:r>
        <w:tab/>
      </w:r>
      <w:r>
        <w:rPr>
          <w:b/>
          <w:bCs/>
        </w:rPr>
        <w:t xml:space="preserve">The Committee encourages the State party to consider making the declarations under </w:t>
      </w:r>
      <w:r>
        <w:rPr>
          <w:b/>
          <w:bCs/>
          <w:color w:val="FF0000"/>
        </w:rPr>
        <w:t>[article 22] [articles 21 and 22]</w:t>
      </w:r>
      <w:r>
        <w:rPr>
          <w:b/>
          <w:bCs/>
        </w:rPr>
        <w:t xml:space="preserve"> of the Convention </w:t>
      </w:r>
      <w:r>
        <w:rPr>
          <w:b/>
          <w:bCs/>
          <w:color w:val="FF0000"/>
        </w:rPr>
        <w:t>[</w:t>
      </w:r>
      <w:r>
        <w:rPr>
          <w:b/>
          <w:bCs/>
        </w:rPr>
        <w:t xml:space="preserve">recognizing the competence of </w:t>
      </w:r>
      <w:r>
        <w:rPr>
          <w:b/>
          <w:bCs/>
        </w:rPr>
        <w:t>the Committee to receive and consider communications from individuals subject to its jurisdiction</w:t>
      </w:r>
      <w:r>
        <w:rPr>
          <w:b/>
          <w:bCs/>
          <w:color w:val="FF0000"/>
        </w:rPr>
        <w:t>]</w:t>
      </w:r>
      <w:r>
        <w:rPr>
          <w:b/>
          <w:bCs/>
        </w:rPr>
        <w:t>.</w:t>
      </w:r>
    </w:p>
    <w:p w:rsidR="0016163C" w:rsidRDefault="005F30A0">
      <w:pPr>
        <w:pStyle w:val="SingleTxtG"/>
        <w:rPr>
          <w:b/>
          <w:bCs/>
        </w:rPr>
      </w:pPr>
      <w:r>
        <w:t>17.</w:t>
      </w:r>
      <w:r>
        <w:tab/>
      </w:r>
      <w:r>
        <w:rPr>
          <w:b/>
          <w:bCs/>
        </w:rPr>
        <w:t xml:space="preserve">The Committee invites the State party </w:t>
      </w:r>
      <w:r>
        <w:rPr>
          <w:b/>
          <w:bCs/>
          <w:color w:val="FF0000"/>
        </w:rPr>
        <w:t xml:space="preserve">[to consider ratifying] [to ratify] </w:t>
      </w:r>
      <w:r>
        <w:rPr>
          <w:b/>
          <w:bCs/>
        </w:rPr>
        <w:t xml:space="preserve">the core United Nations human rights treaties to which it is not yet </w:t>
      </w:r>
      <w:proofErr w:type="gramStart"/>
      <w:r>
        <w:rPr>
          <w:b/>
          <w:bCs/>
        </w:rPr>
        <w:t>party</w:t>
      </w:r>
      <w:r>
        <w:rPr>
          <w:b/>
          <w:bCs/>
          <w:color w:val="FF0000"/>
        </w:rPr>
        <w:t>[</w:t>
      </w:r>
      <w:proofErr w:type="gramEnd"/>
      <w:r>
        <w:rPr>
          <w:b/>
          <w:bCs/>
        </w:rPr>
        <w:t xml:space="preserve">, </w:t>
      </w:r>
      <w:r>
        <w:rPr>
          <w:b/>
          <w:bCs/>
        </w:rPr>
        <w:t>namely the …</w:t>
      </w:r>
      <w:r>
        <w:rPr>
          <w:b/>
          <w:bCs/>
          <w:color w:val="FF0000"/>
        </w:rPr>
        <w:t>]</w:t>
      </w:r>
      <w:r>
        <w:rPr>
          <w:b/>
          <w:bCs/>
        </w:rPr>
        <w:t>.</w:t>
      </w:r>
    </w:p>
    <w:p w:rsidR="0016163C" w:rsidRDefault="005F30A0">
      <w:pPr>
        <w:pStyle w:val="SingleTxtG"/>
        <w:rPr>
          <w:b/>
          <w:bCs/>
        </w:rPr>
      </w:pPr>
      <w:r>
        <w:t>18.</w:t>
      </w:r>
      <w:r>
        <w:tab/>
      </w:r>
      <w:r>
        <w:rPr>
          <w:b/>
          <w:bCs/>
        </w:rPr>
        <w:t>The State party is requested to disseminate widely the report submitted to the Committee and the present concluding observations, in appropriate languages, through official websites, the media and non-governmental organizations.</w:t>
      </w:r>
    </w:p>
    <w:p w:rsidR="0016163C" w:rsidRDefault="005F30A0">
      <w:pPr>
        <w:pStyle w:val="SingleTxtG"/>
        <w:rPr>
          <w:b/>
          <w:bCs/>
        </w:rPr>
      </w:pPr>
      <w:r>
        <w:rPr>
          <w:color w:val="FF0000"/>
        </w:rPr>
        <w:t>[</w:t>
      </w:r>
      <w:r>
        <w:t>19.</w:t>
      </w:r>
      <w:r>
        <w:tab/>
      </w:r>
      <w:r>
        <w:rPr>
          <w:b/>
          <w:bCs/>
        </w:rPr>
        <w:t>The</w:t>
      </w:r>
      <w:r>
        <w:rPr>
          <w:b/>
          <w:bCs/>
        </w:rPr>
        <w:t xml:space="preserve"> State party is invited to submit its </w:t>
      </w:r>
      <w:r>
        <w:rPr>
          <w:b/>
          <w:bCs/>
          <w:color w:val="FF0000"/>
        </w:rPr>
        <w:t>number</w:t>
      </w:r>
      <w:r>
        <w:rPr>
          <w:b/>
          <w:bCs/>
        </w:rPr>
        <w:t xml:space="preserve"> periodic report by </w:t>
      </w:r>
      <w:r>
        <w:rPr>
          <w:b/>
          <w:bCs/>
          <w:color w:val="FF0000"/>
        </w:rPr>
        <w:t>date</w:t>
      </w:r>
      <w:r>
        <w:rPr>
          <w:b/>
          <w:bCs/>
        </w:rPr>
        <w:t xml:space="preserve">. </w:t>
      </w:r>
      <w:r>
        <w:rPr>
          <w:b/>
          <w:bCs/>
          <w:color w:val="FF0000"/>
        </w:rPr>
        <w:t>[To that end] [For that purpose]</w:t>
      </w:r>
      <w:r>
        <w:rPr>
          <w:b/>
          <w:bCs/>
        </w:rPr>
        <w:t xml:space="preserve">, and </w:t>
      </w:r>
      <w:r>
        <w:rPr>
          <w:b/>
          <w:bCs/>
          <w:color w:val="FF0000"/>
        </w:rPr>
        <w:t xml:space="preserve">[in view of the fact] [considering] </w:t>
      </w:r>
      <w:r>
        <w:rPr>
          <w:b/>
          <w:bCs/>
        </w:rPr>
        <w:t>that the State party has agreed to report to the Committee under the simplified reporting procedure, the Committ</w:t>
      </w:r>
      <w:r>
        <w:rPr>
          <w:b/>
          <w:bCs/>
        </w:rPr>
        <w:t>ee will, in due course, transmit to the State party a list of issues prior to reporting. The State party is also invited to submit its common core document in accordance with the requirements contained in the harmonized guidelines on reporting under the in</w:t>
      </w:r>
      <w:r>
        <w:rPr>
          <w:b/>
          <w:bCs/>
        </w:rPr>
        <w:t>ternational human rights treaties (</w:t>
      </w:r>
      <w:proofErr w:type="spellStart"/>
      <w:r>
        <w:rPr>
          <w:b/>
          <w:bCs/>
        </w:rPr>
        <w:t>HRI</w:t>
      </w:r>
      <w:proofErr w:type="spellEnd"/>
      <w:r>
        <w:rPr>
          <w:b/>
          <w:bCs/>
        </w:rPr>
        <w:t>/</w:t>
      </w:r>
      <w:proofErr w:type="spellStart"/>
      <w:r>
        <w:rPr>
          <w:b/>
          <w:bCs/>
        </w:rPr>
        <w:t>GEN.2</w:t>
      </w:r>
      <w:proofErr w:type="spellEnd"/>
      <w:r>
        <w:rPr>
          <w:b/>
          <w:bCs/>
        </w:rPr>
        <w:t>/</w:t>
      </w:r>
      <w:proofErr w:type="spellStart"/>
      <w:r>
        <w:rPr>
          <w:b/>
          <w:bCs/>
        </w:rPr>
        <w:t>Rev.6</w:t>
      </w:r>
      <w:proofErr w:type="spellEnd"/>
      <w:r>
        <w:rPr>
          <w:b/>
          <w:bCs/>
        </w:rPr>
        <w:t>).</w:t>
      </w:r>
      <w:r>
        <w:rPr>
          <w:color w:val="FF0000"/>
        </w:rPr>
        <w:t>]</w:t>
      </w:r>
    </w:p>
    <w:p w:rsidR="0016163C" w:rsidRDefault="005F30A0">
      <w:pPr>
        <w:pStyle w:val="SingleTxtG"/>
        <w:rPr>
          <w:b/>
          <w:bCs/>
        </w:rPr>
      </w:pPr>
      <w:r>
        <w:rPr>
          <w:color w:val="FF0000"/>
        </w:rPr>
        <w:t>[</w:t>
      </w:r>
      <w:r>
        <w:t>19.</w:t>
      </w:r>
      <w:r>
        <w:tab/>
      </w:r>
      <w:r>
        <w:rPr>
          <w:b/>
          <w:bCs/>
        </w:rPr>
        <w:t xml:space="preserve">The Committee requests the State party to submit its next periodic report, which will be its </w:t>
      </w:r>
      <w:r>
        <w:rPr>
          <w:b/>
          <w:bCs/>
          <w:color w:val="FF0000"/>
        </w:rPr>
        <w:t>number</w:t>
      </w:r>
      <w:r>
        <w:rPr>
          <w:b/>
          <w:bCs/>
        </w:rPr>
        <w:t xml:space="preserve">, by </w:t>
      </w:r>
      <w:r>
        <w:rPr>
          <w:b/>
          <w:bCs/>
          <w:color w:val="FF0000"/>
        </w:rPr>
        <w:t>date</w:t>
      </w:r>
      <w:r>
        <w:rPr>
          <w:b/>
          <w:bCs/>
        </w:rPr>
        <w:t xml:space="preserve">. For that purpose, and </w:t>
      </w:r>
      <w:proofErr w:type="gramStart"/>
      <w:r>
        <w:rPr>
          <w:b/>
          <w:bCs/>
        </w:rPr>
        <w:t>in view of the fact that</w:t>
      </w:r>
      <w:proofErr w:type="gramEnd"/>
      <w:r>
        <w:rPr>
          <w:b/>
          <w:bCs/>
        </w:rPr>
        <w:t xml:space="preserve"> the State party has agreed to report to </w:t>
      </w:r>
      <w:r>
        <w:rPr>
          <w:b/>
          <w:bCs/>
        </w:rPr>
        <w:t xml:space="preserve">the Committee under the simplified reporting procedure, the Committee will, in due course, transmit to the State party a list of issues prior to reporting. The State party’s replies to that list of issues will constitute its </w:t>
      </w:r>
      <w:r>
        <w:rPr>
          <w:b/>
          <w:bCs/>
          <w:color w:val="FF0000"/>
        </w:rPr>
        <w:t>number</w:t>
      </w:r>
      <w:r>
        <w:rPr>
          <w:b/>
          <w:bCs/>
        </w:rPr>
        <w:t xml:space="preserve"> periodic report under ar</w:t>
      </w:r>
      <w:r>
        <w:rPr>
          <w:b/>
          <w:bCs/>
        </w:rPr>
        <w:t>ticle 19 of the Convention.</w:t>
      </w:r>
      <w:r>
        <w:rPr>
          <w:color w:val="FF0000"/>
        </w:rPr>
        <w:t>]</w:t>
      </w:r>
    </w:p>
    <w:p w:rsidR="0016163C" w:rsidRDefault="005F30A0">
      <w:pPr>
        <w:pStyle w:val="SingleTxtG"/>
        <w:rPr>
          <w:color w:val="FF0000"/>
        </w:rPr>
      </w:pPr>
      <w:r>
        <w:t>[19.</w:t>
      </w:r>
      <w:r>
        <w:tab/>
      </w:r>
      <w:r>
        <w:rPr>
          <w:b/>
          <w:bCs/>
        </w:rPr>
        <w:t xml:space="preserve">The Committee requests the State party to submit its next periodic report, which will be its </w:t>
      </w:r>
      <w:r>
        <w:rPr>
          <w:b/>
          <w:bCs/>
          <w:color w:val="FF0000"/>
        </w:rPr>
        <w:t>number</w:t>
      </w:r>
      <w:r>
        <w:rPr>
          <w:b/>
          <w:bCs/>
        </w:rPr>
        <w:t xml:space="preserve">, by </w:t>
      </w:r>
      <w:r>
        <w:rPr>
          <w:b/>
          <w:bCs/>
          <w:color w:val="FF0000"/>
        </w:rPr>
        <w:t>date</w:t>
      </w:r>
      <w:r>
        <w:rPr>
          <w:b/>
          <w:bCs/>
        </w:rPr>
        <w:t xml:space="preserve">. For that purpose, the Committee invites the State party to accept, by </w:t>
      </w:r>
      <w:r>
        <w:rPr>
          <w:b/>
          <w:bCs/>
          <w:color w:val="FF0000"/>
        </w:rPr>
        <w:t>date</w:t>
      </w:r>
      <w:r>
        <w:rPr>
          <w:b/>
          <w:bCs/>
        </w:rPr>
        <w:t>, the simplified reporting procedure c</w:t>
      </w:r>
      <w:r>
        <w:rPr>
          <w:b/>
          <w:bCs/>
        </w:rPr>
        <w:t xml:space="preserve">onsisting in the transmittal, by the Committee to the State party, of a list of issues prior to the submission of the report. The State party’s replies to that list of issues will constitute its </w:t>
      </w:r>
      <w:r>
        <w:rPr>
          <w:b/>
          <w:bCs/>
          <w:color w:val="FF0000"/>
        </w:rPr>
        <w:t>number</w:t>
      </w:r>
      <w:r>
        <w:rPr>
          <w:b/>
          <w:bCs/>
        </w:rPr>
        <w:t xml:space="preserve"> periodic report under article 19 of the Convention.</w:t>
      </w:r>
      <w:r>
        <w:rPr>
          <w:color w:val="FF0000"/>
        </w:rPr>
        <w:t>]</w:t>
      </w:r>
    </w:p>
    <w:p w:rsidR="0016163C" w:rsidRDefault="005F30A0">
      <w:pPr>
        <w:pStyle w:val="SingleTxtG"/>
        <w:jc w:val="center"/>
        <w:rPr>
          <w:u w:val="single"/>
        </w:rPr>
      </w:pPr>
      <w:r>
        <w:rPr>
          <w:u w:val="single"/>
        </w:rPr>
        <w:tab/>
      </w:r>
      <w:r>
        <w:rPr>
          <w:u w:val="single"/>
        </w:rPr>
        <w:tab/>
      </w:r>
      <w:r>
        <w:rPr>
          <w:u w:val="single"/>
        </w:rPr>
        <w:tab/>
      </w:r>
    </w:p>
    <w:sectPr w:rsidR="0016163C">
      <w:headerReference w:type="even" r:id="rId8"/>
      <w:headerReference w:type="default" r:id="rId9"/>
      <w:footerReference w:type="even" r:id="rId10"/>
      <w:footerReference w:type="default" r:id="rId11"/>
      <w:footerReference w:type="first" r:id="rId12"/>
      <w:endnotePr>
        <w:numFmt w:val="decimal"/>
      </w:endnotePr>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63C" w:rsidRDefault="0016163C">
      <w:pPr>
        <w:spacing w:line="240" w:lineRule="auto"/>
      </w:pPr>
    </w:p>
  </w:endnote>
  <w:endnote w:type="continuationSeparator" w:id="0">
    <w:p w:rsidR="0016163C" w:rsidRDefault="0016163C">
      <w:pPr>
        <w:pStyle w:val="Footer"/>
      </w:pPr>
    </w:p>
  </w:endnote>
  <w:endnote w:type="continuationNotice" w:id="1">
    <w:p w:rsidR="0016163C" w:rsidRDefault="001616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63C" w:rsidRDefault="005F30A0">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63C" w:rsidRDefault="005F30A0">
    <w:pPr>
      <w:pStyle w:val="Footer"/>
      <w:tabs>
        <w:tab w:val="right" w:pos="9639"/>
      </w:tabs>
      <w:rPr>
        <w:sz w:val="20"/>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63C" w:rsidRDefault="005F30A0">
    <w:pPr>
      <w:pStyle w:val="Footer"/>
      <w:spacing w:before="120"/>
      <w:rPr>
        <w:noProof/>
        <w:sz w:val="20"/>
        <w:lang w:val="fr-FR" w:eastAsia="fr-FR"/>
      </w:rPr>
    </w:pPr>
    <w:r>
      <w:rPr>
        <w:noProof/>
        <w:lang w:val="fr-CH" w:eastAsia="zh-CN"/>
      </w:rPr>
      <w:drawing>
        <wp:anchor distT="0" distB="0" distL="114300" distR="114300" simplePos="0" relativeHeight="251658240"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r>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16163C">
      <w:tc>
        <w:tcPr>
          <w:tcW w:w="1848" w:type="dxa"/>
          <w:vAlign w:val="bottom"/>
          <w:hideMark/>
        </w:tcPr>
        <w:p w:rsidR="0016163C" w:rsidRDefault="005F30A0">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zh-CN"/>
            </w:rPr>
            <w:drawing>
              <wp:inline distT="0" distB="0" distL="0" distR="0">
                <wp:extent cx="936625" cy="226695"/>
                <wp:effectExtent l="0" t="0" r="0" b="1905"/>
                <wp:docPr id="3" name="Imagen 3"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625" cy="226695"/>
                        </a:xfrm>
                        <a:prstGeom prst="rect">
                          <a:avLst/>
                        </a:prstGeom>
                        <a:noFill/>
                        <a:ln>
                          <a:noFill/>
                        </a:ln>
                      </pic:spPr>
                    </pic:pic>
                  </a:graphicData>
                </a:graphic>
              </wp:inline>
            </w:drawing>
          </w:r>
        </w:p>
      </w:tc>
      <w:tc>
        <w:tcPr>
          <w:tcW w:w="1274" w:type="dxa"/>
        </w:tcPr>
        <w:p w:rsidR="0016163C" w:rsidRDefault="0016163C">
          <w:pPr>
            <w:kinsoku w:val="0"/>
            <w:overflowPunct w:val="0"/>
            <w:autoSpaceDE w:val="0"/>
            <w:autoSpaceDN w:val="0"/>
            <w:adjustRightInd w:val="0"/>
            <w:snapToGrid w:val="0"/>
            <w:spacing w:line="240" w:lineRule="auto"/>
            <w:jc w:val="right"/>
            <w:rPr>
              <w:rFonts w:eastAsiaTheme="minorHAnsi"/>
              <w:sz w:val="16"/>
              <w:lang w:val="fr-CH"/>
            </w:rPr>
          </w:pPr>
        </w:p>
      </w:tc>
    </w:tr>
  </w:tbl>
  <w:p w:rsidR="0016163C" w:rsidRDefault="005F30A0">
    <w:pPr>
      <w:pStyle w:val="Footer"/>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63C" w:rsidRDefault="005F30A0">
      <w:pPr>
        <w:pStyle w:val="Footer"/>
        <w:tabs>
          <w:tab w:val="right" w:pos="2155"/>
        </w:tabs>
        <w:spacing w:after="80" w:line="240" w:lineRule="atLeast"/>
        <w:ind w:left="680"/>
        <w:rPr>
          <w:u w:val="single"/>
        </w:rPr>
      </w:pPr>
      <w:r>
        <w:rPr>
          <w:u w:val="single"/>
        </w:rPr>
        <w:tab/>
      </w:r>
    </w:p>
  </w:footnote>
  <w:footnote w:type="continuationSeparator" w:id="0">
    <w:p w:rsidR="0016163C" w:rsidRDefault="005F30A0">
      <w:pPr>
        <w:pStyle w:val="Footer"/>
        <w:tabs>
          <w:tab w:val="right" w:pos="2155"/>
        </w:tabs>
        <w:spacing w:after="80" w:line="240" w:lineRule="atLeast"/>
        <w:ind w:left="680"/>
        <w:rPr>
          <w:u w:val="single"/>
        </w:rPr>
      </w:pPr>
      <w:r>
        <w:rPr>
          <w:u w:val="single"/>
        </w:rPr>
        <w:tab/>
      </w:r>
    </w:p>
  </w:footnote>
  <w:footnote w:type="continuationNotice" w:id="1">
    <w:p w:rsidR="0016163C" w:rsidRDefault="0016163C">
      <w:pPr>
        <w:spacing w:line="240" w:lineRule="auto"/>
        <w:rPr>
          <w:sz w:val="2"/>
          <w:szCs w:val="2"/>
        </w:rPr>
      </w:pPr>
    </w:p>
  </w:footnote>
  <w:footnote w:id="2">
    <w:p w:rsidR="0016163C" w:rsidRDefault="005F30A0">
      <w:pPr>
        <w:pStyle w:val="FootnoteText"/>
      </w:pPr>
      <w:r>
        <w:tab/>
      </w:r>
      <w:r>
        <w:rPr>
          <w:rStyle w:val="FootnoteReference"/>
          <w:sz w:val="20"/>
          <w:vertAlign w:val="baseline"/>
        </w:rPr>
        <w:t>*</w:t>
      </w:r>
      <w:r>
        <w:rPr>
          <w:sz w:val="20"/>
        </w:rPr>
        <w:tab/>
      </w:r>
      <w:r w:rsidRPr="00E057FE">
        <w:t xml:space="preserve">Adopted by the Committee at its </w:t>
      </w:r>
      <w:r w:rsidRPr="0055184D">
        <w:rPr>
          <w:color w:val="FF0000"/>
        </w:rPr>
        <w:t xml:space="preserve">number </w:t>
      </w:r>
      <w:r w:rsidRPr="00E057FE">
        <w:t>session (</w:t>
      </w:r>
      <w:r w:rsidRPr="0055184D">
        <w:rPr>
          <w:color w:val="FF0000"/>
        </w:rPr>
        <w:t>dates</w:t>
      </w:r>
      <w:r w:rsidRPr="00E057FE">
        <w:t>)</w:t>
      </w:r>
      <w:bookmarkStart w:id="0" w:name="_GoBack"/>
      <w:bookmarkEnd w:id="0"/>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63C" w:rsidRDefault="005F30A0">
    <w:pPr>
      <w:pStyle w:val="Header"/>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63C" w:rsidRDefault="005F30A0">
    <w:pPr>
      <w:pStyle w:val="Header"/>
      <w:jc w:val="right"/>
    </w:pPr>
    <w:r>
      <w:fldChar w:fldCharType="begin"/>
    </w:r>
    <w:r>
      <w:instrText xml:space="preserve"> DOCPROPERTY  symh  \* MERGEFORMAT </w:instrText>
    </w:r>
    <w:r>
      <w:fldChar w:fldCharType="separate"/>
    </w:r>
    <w:proofErr w:type="spellStart"/>
    <w:r>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584C22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5E404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3"/>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defaultTabStop w:val="567"/>
  <w:hyphenationZone w:val="425"/>
  <w:evenAndOddHeaders/>
  <w:characterSpacingControl w:val="doNotCompress"/>
  <w:hdrShapeDefaults>
    <o:shapedefaults v:ext="edit" spidmax="4915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3C"/>
    <w:rsid w:val="0016163C"/>
    <w:rsid w:val="005F30A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docId w15:val="{5BFFB25A-908F-4AA0-B045-F66B6808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lang w:val="en-GB"/>
    </w:rPr>
  </w:style>
  <w:style w:type="paragraph" w:styleId="Footer">
    <w:name w:val="footer"/>
    <w:aliases w:val="3_G"/>
    <w:basedOn w:val="Normal"/>
    <w:link w:val="FooterChar"/>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Pr>
      <w:rFonts w:ascii="Times New Roman" w:hAnsi="Times New Roman"/>
      <w:sz w:val="18"/>
      <w:vertAlign w:val="superscript"/>
      <w:lang w:val="en-GB"/>
    </w:rPr>
  </w:style>
  <w:style w:type="character" w:styleId="EndnoteReference">
    <w:name w:val="endnote reference"/>
    <w:aliases w:val="1_G"/>
    <w:basedOn w:val="FootnoteReference"/>
    <w:qFormat/>
    <w:rPr>
      <w:rFonts w:ascii="Times New Roman" w:hAnsi="Times New Roman"/>
      <w:sz w:val="18"/>
      <w:vertAlign w:val="superscript"/>
      <w:lang w:val="en-GB"/>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Pr>
      <w:color w:val="0000FF"/>
      <w:u w:val="none"/>
    </w:rPr>
  </w:style>
  <w:style w:type="character" w:styleId="FollowedHyperlink">
    <w:name w:val="FollowedHyperlink"/>
    <w:basedOn w:val="DefaultParagraphFont"/>
    <w:semiHidden/>
    <w:rPr>
      <w:color w:val="0000FF"/>
      <w:u w:val="none"/>
    </w:rPr>
  </w:style>
  <w:style w:type="paragraph" w:styleId="FootnoteText">
    <w:name w:val="footnote text"/>
    <w:aliases w:val="5_G"/>
    <w:basedOn w:val="Normal"/>
    <w:link w:val="FootnoteTextCh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Pr>
      <w:rFonts w:ascii="Times New Roman" w:hAnsi="Times New Roman" w:cs="Times New Roman"/>
      <w:sz w:val="18"/>
      <w:szCs w:val="20"/>
      <w:lang w:val="en-GB"/>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lang w:val="en-GB"/>
    </w:rPr>
  </w:style>
  <w:style w:type="character" w:styleId="PageNumber">
    <w:name w:val="page number"/>
    <w:aliases w:val="7_G"/>
    <w:basedOn w:val="DefaultParagraphFont"/>
    <w:qFormat/>
    <w:rPr>
      <w:rFonts w:ascii="Times New Roman" w:hAnsi="Times New Roman"/>
      <w:b/>
      <w:sz w:val="18"/>
      <w:lang w:val="en-GB"/>
    </w:rPr>
  </w:style>
  <w:style w:type="character" w:customStyle="1" w:styleId="Heading1Char">
    <w:name w:val="Heading 1 Char"/>
    <w:aliases w:val="Table_G Char"/>
    <w:basedOn w:val="DefaultParagraphFont"/>
    <w:link w:val="Heading1"/>
    <w:rPr>
      <w:rFonts w:ascii="Times New Roman" w:hAnsi="Times New Roman" w:cs="Times New Roman"/>
      <w:sz w:val="20"/>
      <w:szCs w:val="20"/>
      <w:lang w:val="en-GB"/>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table" w:customStyle="1" w:styleId="Tablaconcuadrcula1">
    <w:name w:val="Tabla con cuadrícula1"/>
    <w:basedOn w:val="Table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SingleTxtGChar">
    <w:name w:val="_ Single Txt_G Char"/>
    <w:link w:val="SingleTxtG"/>
    <w:locked/>
    <w:rPr>
      <w:rFonts w:ascii="Times New Roman" w:hAnsi="Times New Roman" w:cs="Times New Roman"/>
      <w:sz w:val="20"/>
      <w:szCs w:val="20"/>
      <w:lang w:val="en-GB"/>
    </w:rPr>
  </w:style>
  <w:style w:type="numbering" w:styleId="111111">
    <w:name w:val="Outline List 2"/>
    <w:basedOn w:val="NoList"/>
    <w:semiHidden/>
    <w:pPr>
      <w:numPr>
        <w:numId w:val="18"/>
      </w:numPr>
    </w:pPr>
  </w:style>
  <w:style w:type="numbering" w:styleId="1ai">
    <w:name w:val="Outline List 1"/>
    <w:basedOn w:val="NoList"/>
    <w:semiHidden/>
    <w:pPr>
      <w:numPr>
        <w:numId w:val="20"/>
      </w:numPr>
    </w:pPr>
  </w:style>
  <w:style w:type="table" w:customStyle="1" w:styleId="TableGrid1">
    <w:name w:val="Table Grid1"/>
    <w:basedOn w:val="Table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771</Words>
  <Characters>4243</Characters>
  <Application>Microsoft Office Word</Application>
  <DocSecurity>0</DocSecurity>
  <Lines>35</Lines>
  <Paragraphs>10</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DCM</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26</cp:revision>
  <cp:lastPrinted>2017-02-27T12:45:00Z</cp:lastPrinted>
  <dcterms:created xsi:type="dcterms:W3CDTF">2017-02-27T12:27:00Z</dcterms:created>
  <dcterms:modified xsi:type="dcterms:W3CDTF">2018-04-10T09:40:00Z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ies>
</file>