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085FA9">
        <w:trPr>
          <w:cantSplit/>
          <w:trHeight w:hRule="exact" w:val="851"/>
        </w:trPr>
        <w:tc>
          <w:tcPr>
            <w:tcW w:w="1276" w:type="dxa"/>
            <w:tcBorders>
              <w:bottom w:val="single" w:sz="4" w:space="0" w:color="auto"/>
            </w:tcBorders>
            <w:vAlign w:val="bottom"/>
          </w:tcPr>
          <w:p w:rsidR="00085FA9" w:rsidRDefault="00085FA9">
            <w:pPr>
              <w:spacing w:after="80"/>
            </w:pPr>
          </w:p>
        </w:tc>
        <w:tc>
          <w:tcPr>
            <w:tcW w:w="2268" w:type="dxa"/>
            <w:tcBorders>
              <w:bottom w:val="single" w:sz="4" w:space="0" w:color="auto"/>
            </w:tcBorders>
            <w:vAlign w:val="bottom"/>
          </w:tcPr>
          <w:p w:rsidR="00085FA9" w:rsidRDefault="00A61F82">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085FA9" w:rsidRDefault="00A61F82">
            <w:pPr>
              <w:suppressAutoHyphens w:val="0"/>
              <w:spacing w:after="20"/>
              <w:jc w:val="right"/>
            </w:pPr>
            <w:r>
              <w:rPr>
                <w:sz w:val="40"/>
              </w:rPr>
              <w:t>CAT</w:t>
            </w:r>
            <w:r>
              <w:t>/</w:t>
            </w:r>
            <w:fldSimple w:instr=" DOCPROPERTY  sym1  \* MERGEFORMAT ">
              <w:r>
                <w:t>sym1</w:t>
              </w:r>
            </w:fldSimple>
          </w:p>
        </w:tc>
      </w:tr>
      <w:tr w:rsidR="00085FA9">
        <w:trPr>
          <w:cantSplit/>
          <w:trHeight w:hRule="exact" w:val="2835"/>
        </w:trPr>
        <w:tc>
          <w:tcPr>
            <w:tcW w:w="1276" w:type="dxa"/>
            <w:tcBorders>
              <w:top w:val="single" w:sz="4" w:space="0" w:color="auto"/>
              <w:bottom w:val="single" w:sz="12" w:space="0" w:color="auto"/>
            </w:tcBorders>
          </w:tcPr>
          <w:p w:rsidR="00085FA9" w:rsidRDefault="00A61F82">
            <w:pPr>
              <w:spacing w:before="120"/>
              <w:jc w:val="center"/>
            </w:pPr>
            <w:r>
              <w:rPr>
                <w:noProof/>
                <w:lang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085FA9" w:rsidRDefault="00A61F82">
            <w:pPr>
              <w:spacing w:before="120" w:line="380" w:lineRule="exact"/>
            </w:pPr>
            <w:r>
              <w:rPr>
                <w:b/>
                <w:sz w:val="34"/>
                <w:szCs w:val="34"/>
              </w:rPr>
              <w:t>Convention contre</w:t>
            </w:r>
            <w:r>
              <w:rPr>
                <w:b/>
                <w:sz w:val="34"/>
                <w:szCs w:val="34"/>
              </w:rPr>
              <w:br/>
              <w:t>la torture et autres peines</w:t>
            </w:r>
            <w:r>
              <w:rPr>
                <w:b/>
                <w:sz w:val="34"/>
                <w:szCs w:val="34"/>
              </w:rPr>
              <w:br/>
              <w:t>ou traitements cruels,</w:t>
            </w:r>
            <w:r>
              <w:rPr>
                <w:b/>
                <w:sz w:val="34"/>
                <w:szCs w:val="34"/>
              </w:rPr>
              <w:br/>
              <w:t>inhumains ou dégradants</w:t>
            </w:r>
          </w:p>
        </w:tc>
        <w:tc>
          <w:tcPr>
            <w:tcW w:w="2835" w:type="dxa"/>
            <w:tcBorders>
              <w:top w:val="single" w:sz="4" w:space="0" w:color="auto"/>
              <w:bottom w:val="single" w:sz="12" w:space="0" w:color="auto"/>
            </w:tcBorders>
          </w:tcPr>
          <w:p w:rsidR="00085FA9" w:rsidRDefault="00A61F82">
            <w:pPr>
              <w:suppressAutoHyphens w:val="0"/>
              <w:spacing w:before="240" w:line="240" w:lineRule="exact"/>
            </w:pPr>
            <w:r>
              <w:t xml:space="preserve">Distr. </w:t>
            </w:r>
            <w:fldSimple w:instr=" DOCPROPERTY  dist  \* MERGEFORMAT ">
              <w:r>
                <w:t>Dist</w:t>
              </w:r>
            </w:fldSimple>
          </w:p>
          <w:p w:rsidR="00085FA9" w:rsidRDefault="00A61F82">
            <w:pPr>
              <w:suppressAutoHyphens w:val="0"/>
            </w:pPr>
            <w:fldSimple w:instr=" DOCPROPERTY  date  \* MERGEFORMAT ">
              <w:r>
                <w:t>date</w:t>
              </w:r>
            </w:fldSimple>
          </w:p>
          <w:p w:rsidR="00085FA9" w:rsidRDefault="00A61F82">
            <w:pPr>
              <w:suppressAutoHyphens w:val="0"/>
            </w:pPr>
            <w:fldSimple w:instr=" DOCPROPERTY  tlang  \* MERGEFORMAT ">
              <w:r>
                <w:t>tlang</w:t>
              </w:r>
            </w:fldSimple>
          </w:p>
          <w:p w:rsidR="00085FA9" w:rsidRDefault="009B406C">
            <w:pPr>
              <w:suppressAutoHyphens w:val="0"/>
            </w:pPr>
            <w:r>
              <w:t>Original :</w:t>
            </w:r>
            <w:bookmarkStart w:id="0" w:name="_GoBack"/>
            <w:bookmarkEnd w:id="0"/>
            <w:r w:rsidR="00A61F82">
              <w:t xml:space="preserve"> </w:t>
            </w:r>
            <w:fldSimple w:instr=" DOCPROPERTY  olang  \* MERGEFORMAT ">
              <w:r w:rsidR="00A61F82">
                <w:t>olang</w:t>
              </w:r>
            </w:fldSimple>
          </w:p>
          <w:p w:rsidR="00085FA9" w:rsidRDefault="00A61F82">
            <w:pPr>
              <w:suppressAutoHyphens w:val="0"/>
            </w:pPr>
            <w:fldSimple w:instr=" DOCPROPERTY  virs  \* MERGEFORMAT ">
              <w:r>
                <w:t>virs</w:t>
              </w:r>
            </w:fldSimple>
          </w:p>
        </w:tc>
      </w:tr>
    </w:tbl>
    <w:p w:rsidR="00085FA9" w:rsidRDefault="00A61F82">
      <w:pPr>
        <w:spacing w:before="120" w:line="240" w:lineRule="exact"/>
        <w:rPr>
          <w:b/>
          <w:sz w:val="24"/>
          <w:szCs w:val="24"/>
        </w:rPr>
      </w:pPr>
      <w:r>
        <w:rPr>
          <w:b/>
          <w:sz w:val="24"/>
          <w:szCs w:val="24"/>
        </w:rPr>
        <w:t>Comité contre la torture</w:t>
      </w:r>
    </w:p>
    <w:p w:rsidR="00085FA9" w:rsidRDefault="00A61F82">
      <w:pPr>
        <w:pStyle w:val="HChG"/>
        <w:rPr>
          <w:b w:val="0"/>
          <w:sz w:val="20"/>
        </w:rPr>
      </w:pPr>
      <w:r>
        <w:tab/>
      </w:r>
      <w:r>
        <w:tab/>
        <w:t xml:space="preserve">Observations finales concernant le </w:t>
      </w:r>
      <w:fldSimple w:instr=" DOCPROPERTY  prep  \* MERGEFORMAT ">
        <w:r>
          <w:t>prep</w:t>
        </w:r>
      </w:fldSimple>
      <w:r>
        <w:rPr>
          <w:rStyle w:val="FootnoteReference"/>
          <w:b w:val="0"/>
          <w:sz w:val="20"/>
          <w:vertAlign w:val="baseline"/>
        </w:rPr>
        <w:footnoteReference w:customMarkFollows="1" w:id="2"/>
        <w:t>*</w:t>
      </w:r>
    </w:p>
    <w:p w:rsidR="00085FA9" w:rsidRDefault="00A61F82">
      <w:pPr>
        <w:pStyle w:val="SingleTxtG"/>
      </w:pPr>
      <w:r>
        <w:t>1.</w:t>
      </w:r>
      <w:r>
        <w:tab/>
        <w:t xml:space="preserve">Le Comité contre la torture a examiné le </w:t>
      </w:r>
      <w:r>
        <w:rPr>
          <w:color w:val="FF0000"/>
        </w:rPr>
        <w:t>[</w:t>
      </w:r>
      <w:r>
        <w:t xml:space="preserve">rapport initial de </w:t>
      </w:r>
      <w:r>
        <w:rPr>
          <w:color w:val="FF0000"/>
        </w:rPr>
        <w:t>Pays] [</w:t>
      </w:r>
      <w:r>
        <w:t xml:space="preserve">rapport de </w:t>
      </w:r>
      <w:r>
        <w:rPr>
          <w:color w:val="FF0000"/>
        </w:rPr>
        <w:t>Pays</w:t>
      </w:r>
      <w:r>
        <w:t xml:space="preserve"> valant </w:t>
      </w:r>
      <w:r>
        <w:rPr>
          <w:color w:val="FF0000"/>
        </w:rPr>
        <w:t>énième</w:t>
      </w:r>
      <w:r>
        <w:t xml:space="preserve"> à </w:t>
      </w:r>
      <w:r>
        <w:rPr>
          <w:color w:val="FF0000"/>
        </w:rPr>
        <w:t>énième</w:t>
      </w:r>
      <w:r>
        <w:t xml:space="preserve"> rapports périodiques</w:t>
      </w:r>
      <w:r>
        <w:rPr>
          <w:color w:val="FF0000"/>
        </w:rPr>
        <w:t>]</w:t>
      </w:r>
      <w:r>
        <w:t xml:space="preserve"> </w:t>
      </w:r>
      <w:r>
        <w:rPr>
          <w:color w:val="FF0000"/>
        </w:rPr>
        <w:t>[énième</w:t>
      </w:r>
      <w:r>
        <w:t xml:space="preserve"> rapport périodique de </w:t>
      </w:r>
      <w:r>
        <w:rPr>
          <w:color w:val="FF0000"/>
        </w:rPr>
        <w:t>Pays]</w:t>
      </w:r>
      <w:r>
        <w:t xml:space="preserve"> (CAT/C/</w:t>
      </w:r>
      <w:r>
        <w:rPr>
          <w:color w:val="FF0000"/>
        </w:rPr>
        <w:t>XXX</w:t>
      </w:r>
      <w:r>
        <w:t>/</w:t>
      </w:r>
      <w:r>
        <w:rPr>
          <w:color w:val="FF0000"/>
        </w:rPr>
        <w:t>Y</w:t>
      </w:r>
      <w:r>
        <w:t xml:space="preserve">) à ses </w:t>
      </w:r>
      <w:r>
        <w:rPr>
          <w:color w:val="FF0000"/>
        </w:rPr>
        <w:t>énième</w:t>
      </w:r>
      <w:r>
        <w:t xml:space="preserve"> et </w:t>
      </w:r>
      <w:r>
        <w:rPr>
          <w:color w:val="FF0000"/>
        </w:rPr>
        <w:t>énième</w:t>
      </w:r>
      <w:r>
        <w:t xml:space="preserve"> séances (voir CAT/C/SR.</w:t>
      </w:r>
      <w:r>
        <w:rPr>
          <w:color w:val="FF0000"/>
        </w:rPr>
        <w:t>XXX</w:t>
      </w:r>
      <w:r>
        <w:t xml:space="preserve"> et </w:t>
      </w:r>
      <w:r>
        <w:rPr>
          <w:color w:val="FF0000"/>
        </w:rPr>
        <w:t>XXX</w:t>
      </w:r>
      <w:r>
        <w:t xml:space="preserve">), les </w:t>
      </w:r>
      <w:r>
        <w:rPr>
          <w:color w:val="FF0000"/>
        </w:rPr>
        <w:t xml:space="preserve">date </w:t>
      </w:r>
      <w:r>
        <w:t>et</w:t>
      </w:r>
      <w:r>
        <w:rPr>
          <w:color w:val="FF0000"/>
        </w:rPr>
        <w:t xml:space="preserve"> date</w:t>
      </w:r>
      <w:r>
        <w:t>,</w:t>
      </w:r>
      <w:r>
        <w:rPr>
          <w:color w:val="FF0000"/>
        </w:rPr>
        <w:t xml:space="preserve"> </w:t>
      </w:r>
      <w:r>
        <w:t xml:space="preserve">et a adopté les présentes observations finales à sa </w:t>
      </w:r>
      <w:r>
        <w:rPr>
          <w:color w:val="FF0000"/>
        </w:rPr>
        <w:t xml:space="preserve">énième </w:t>
      </w:r>
      <w:r>
        <w:t>séance, le</w:t>
      </w:r>
      <w:r>
        <w:rPr>
          <w:color w:val="FF0000"/>
        </w:rPr>
        <w:t xml:space="preserve"> date</w:t>
      </w:r>
      <w:r>
        <w:t>.</w:t>
      </w:r>
    </w:p>
    <w:p w:rsidR="00085FA9" w:rsidRDefault="00A61F82">
      <w:pPr>
        <w:pStyle w:val="H1G"/>
      </w:pPr>
      <w:r>
        <w:tab/>
        <w:t>A.</w:t>
      </w:r>
      <w:r>
        <w:tab/>
        <w:t>Introduction</w:t>
      </w:r>
    </w:p>
    <w:p w:rsidR="00085FA9" w:rsidRDefault="00A61F82">
      <w:pPr>
        <w:pStyle w:val="H1G"/>
      </w:pPr>
      <w:r>
        <w:tab/>
        <w:t>B.</w:t>
      </w:r>
      <w:r>
        <w:tab/>
        <w:t>Aspects positifs</w:t>
      </w:r>
    </w:p>
    <w:p w:rsidR="00085FA9" w:rsidRDefault="00A61F82">
      <w:pPr>
        <w:pStyle w:val="SingleTxtG"/>
        <w:rPr>
          <w:lang w:eastAsia="zh-CN"/>
        </w:rPr>
      </w:pPr>
      <w:r>
        <w:t>3.</w:t>
      </w:r>
      <w:r>
        <w:rPr>
          <w:color w:val="FF0000"/>
        </w:rPr>
        <w:tab/>
      </w:r>
      <w:r>
        <w:t>Le Comité note avec satisfaction que l’État partie a ratifié les instruments internationaux ci-après, ou y a adhéré</w:t>
      </w:r>
      <w:r>
        <w:rPr>
          <w:lang w:eastAsia="zh-CN"/>
        </w:rPr>
        <w:t>:</w:t>
      </w:r>
    </w:p>
    <w:p w:rsidR="00085FA9" w:rsidRDefault="00A61F82">
      <w:pPr>
        <w:pStyle w:val="SingleTxtG"/>
        <w:ind w:firstLine="567"/>
      </w:pPr>
      <w:r>
        <w:t>(a)</w:t>
      </w:r>
      <w:r>
        <w:tab/>
      </w:r>
      <w:r>
        <w:rPr>
          <w:color w:val="FF0000"/>
        </w:rPr>
        <w:t>…</w:t>
      </w:r>
      <w:r>
        <w:t>, le</w:t>
      </w:r>
      <w:r>
        <w:rPr>
          <w:color w:val="FF0000"/>
        </w:rPr>
        <w:t xml:space="preserve"> date</w:t>
      </w:r>
      <w:r>
        <w:t>;</w:t>
      </w:r>
    </w:p>
    <w:p w:rsidR="00085FA9" w:rsidRDefault="00A61F82">
      <w:pPr>
        <w:pStyle w:val="SingleTxtG"/>
        <w:ind w:firstLine="567"/>
        <w:rPr>
          <w:lang w:eastAsia="zh-CN"/>
        </w:rPr>
      </w:pPr>
      <w:r>
        <w:rPr>
          <w:lang w:eastAsia="zh-CN"/>
        </w:rPr>
        <w:t>(b)</w:t>
      </w:r>
      <w:r>
        <w:rPr>
          <w:lang w:eastAsia="zh-CN"/>
        </w:rPr>
        <w:tab/>
      </w:r>
    </w:p>
    <w:p w:rsidR="00085FA9" w:rsidRDefault="00A61F82">
      <w:pPr>
        <w:pStyle w:val="SingleTxtG"/>
        <w:rPr>
          <w:lang w:eastAsia="zh-CN"/>
        </w:rPr>
      </w:pPr>
      <w:r>
        <w:rPr>
          <w:lang w:eastAsia="zh-CN"/>
        </w:rPr>
        <w:t>4.</w:t>
      </w:r>
      <w:r>
        <w:rPr>
          <w:lang w:eastAsia="zh-CN"/>
        </w:rPr>
        <w:tab/>
        <w:t xml:space="preserve">Le Comité accueille également avec satisfaction </w:t>
      </w:r>
      <w:r>
        <w:rPr>
          <w:color w:val="FF0000"/>
          <w:lang w:eastAsia="zh-CN"/>
        </w:rPr>
        <w:t>[l’adoption des mesures législatives ci-après par l’État partie] [les mesures prises par l’État partie pour réviser sa législation]</w:t>
      </w:r>
      <w:r>
        <w:rPr>
          <w:lang w:eastAsia="zh-CN"/>
        </w:rPr>
        <w:t xml:space="preserve"> dans des domaines intéressant la Convention </w:t>
      </w:r>
      <w:r>
        <w:rPr>
          <w:color w:val="FF0000"/>
          <w:lang w:eastAsia="zh-CN"/>
        </w:rPr>
        <w:t>[, notamment]</w:t>
      </w:r>
      <w:r>
        <w:rPr>
          <w:lang w:eastAsia="zh-CN"/>
        </w:rPr>
        <w:t>:</w:t>
      </w:r>
    </w:p>
    <w:p w:rsidR="00085FA9" w:rsidRDefault="00A61F82">
      <w:pPr>
        <w:pStyle w:val="SingleTxtG"/>
        <w:ind w:firstLine="567"/>
      </w:pPr>
      <w:r>
        <w:t>(a)</w:t>
      </w:r>
      <w:r>
        <w:tab/>
      </w:r>
      <w:r>
        <w:rPr>
          <w:color w:val="FF0000"/>
        </w:rPr>
        <w:t>…</w:t>
      </w:r>
      <w:r>
        <w:t>;</w:t>
      </w:r>
    </w:p>
    <w:p w:rsidR="00085FA9" w:rsidRDefault="00A61F82">
      <w:pPr>
        <w:pStyle w:val="SingleTxtG"/>
        <w:ind w:firstLine="567"/>
        <w:rPr>
          <w:lang w:eastAsia="zh-CN"/>
        </w:rPr>
      </w:pPr>
      <w:r>
        <w:rPr>
          <w:lang w:eastAsia="zh-CN"/>
        </w:rPr>
        <w:t>(b)</w:t>
      </w:r>
      <w:r>
        <w:rPr>
          <w:lang w:eastAsia="zh-CN"/>
        </w:rPr>
        <w:tab/>
      </w:r>
    </w:p>
    <w:p w:rsidR="00085FA9" w:rsidRDefault="00A61F82">
      <w:pPr>
        <w:pStyle w:val="H1G"/>
      </w:pPr>
      <w:r>
        <w:tab/>
        <w:t>C.</w:t>
      </w:r>
      <w:r>
        <w:tab/>
        <w:t xml:space="preserve">Principaux sujets de préoccupation et recommandations </w:t>
      </w:r>
    </w:p>
    <w:p w:rsidR="00085FA9" w:rsidRDefault="00A61F82">
      <w:pPr>
        <w:pStyle w:val="H23G"/>
      </w:pPr>
      <w:r>
        <w:tab/>
      </w:r>
      <w:r>
        <w:tab/>
        <w:t xml:space="preserve">Questions en suspens issues du cycle précédent </w:t>
      </w:r>
    </w:p>
    <w:p w:rsidR="00085FA9" w:rsidRDefault="00A61F82">
      <w:pPr>
        <w:pStyle w:val="SingleTxtG"/>
      </w:pPr>
      <w:r>
        <w:rPr>
          <w:color w:val="FF0000"/>
        </w:rPr>
        <w:t>[</w:t>
      </w:r>
      <w:r>
        <w:t>5.</w:t>
      </w:r>
      <w:r>
        <w:tab/>
        <w:t>Le Comité note avec regret que l’État partie n’a respecté la procédure de suivi...</w:t>
      </w:r>
      <w:r>
        <w:rPr>
          <w:color w:val="FF0000"/>
        </w:rPr>
        <w:t>]</w:t>
      </w:r>
    </w:p>
    <w:p w:rsidR="00085FA9" w:rsidRDefault="00A61F82">
      <w:pPr>
        <w:pStyle w:val="SingleTxtG"/>
        <w:rPr>
          <w:color w:val="FF0000"/>
        </w:rPr>
      </w:pPr>
      <w:r>
        <w:rPr>
          <w:color w:val="FF0000"/>
        </w:rPr>
        <w:t>[</w:t>
      </w:r>
      <w:r>
        <w:rPr>
          <w:bCs/>
        </w:rPr>
        <w:t>5.</w:t>
      </w:r>
      <w:r>
        <w:rPr>
          <w:bCs/>
        </w:rPr>
        <w:tab/>
      </w:r>
      <w:r>
        <w:t>Le Comité note avec satisfaction que l’État partie a respecté la procédure de suivi</w:t>
      </w:r>
      <w:r>
        <w:rPr>
          <w:bCs/>
        </w:rPr>
        <w:t>…</w:t>
      </w:r>
      <w:r>
        <w:rPr>
          <w:color w:val="FF0000"/>
        </w:rPr>
        <w:t>]</w:t>
      </w:r>
    </w:p>
    <w:p w:rsidR="00085FA9" w:rsidRDefault="00A61F82">
      <w:pPr>
        <w:pStyle w:val="SingleTxtG"/>
      </w:pPr>
      <w:r>
        <w:rPr>
          <w:color w:val="FF0000"/>
        </w:rPr>
        <w:t>[</w:t>
      </w:r>
      <w:r>
        <w:rPr>
          <w:bCs/>
        </w:rPr>
        <w:t>5.</w:t>
      </w:r>
      <w:r>
        <w:rPr>
          <w:bCs/>
        </w:rPr>
        <w:tab/>
        <w:t>Le Comité accueille avec satisfaction les renseignements que lui a fournis l’État partie dans le cadre de la procédure de suivi, mais constate avec regret que  …</w:t>
      </w:r>
      <w:r>
        <w:rPr>
          <w:color w:val="FF0000"/>
        </w:rPr>
        <w:t>]</w:t>
      </w:r>
    </w:p>
    <w:p w:rsidR="00085FA9" w:rsidRDefault="00A61F82">
      <w:pPr>
        <w:pStyle w:val="H23G"/>
        <w:keepNext w:val="0"/>
        <w:keepLines w:val="0"/>
      </w:pPr>
      <w:r>
        <w:rPr>
          <w:color w:val="FF0000"/>
        </w:rPr>
        <w:t xml:space="preserve"> </w:t>
      </w:r>
      <w:r>
        <w:rPr>
          <w:color w:val="FF0000"/>
        </w:rPr>
        <w:tab/>
      </w:r>
      <w:r>
        <w:rPr>
          <w:color w:val="FF0000"/>
        </w:rPr>
        <w:tab/>
      </w:r>
      <w:r>
        <w:t>Définition de la torture</w:t>
      </w:r>
    </w:p>
    <w:p w:rsidR="00085FA9" w:rsidRDefault="00A61F82">
      <w:pPr>
        <w:pStyle w:val="H23G"/>
        <w:rPr>
          <w:rFonts w:eastAsia="SimSun"/>
          <w:lang w:eastAsia="zh-CN"/>
        </w:rPr>
      </w:pPr>
      <w:r>
        <w:tab/>
      </w:r>
      <w:r>
        <w:tab/>
      </w:r>
      <w:r>
        <w:rPr>
          <w:rFonts w:eastAsia="SimSun"/>
          <w:color w:val="FF0000"/>
          <w:lang w:eastAsia="zh-CN"/>
        </w:rPr>
        <w:t>[</w:t>
      </w:r>
      <w:r>
        <w:rPr>
          <w:rFonts w:eastAsia="SimSun"/>
          <w:lang w:eastAsia="zh-CN"/>
        </w:rPr>
        <w:t xml:space="preserve">Collecte de données </w:t>
      </w:r>
    </w:p>
    <w:p w:rsidR="00085FA9" w:rsidRDefault="00A61F82">
      <w:pPr>
        <w:pStyle w:val="SingleTxtG"/>
        <w:rPr>
          <w:rFonts w:eastAsia="SimSun"/>
          <w:color w:val="FF0000"/>
          <w:lang w:eastAsia="zh-CN"/>
        </w:rPr>
      </w:pPr>
      <w:r>
        <w:rPr>
          <w:rFonts w:eastAsia="SimSun"/>
          <w:lang w:eastAsia="zh-CN"/>
        </w:rPr>
        <w:t>13.</w:t>
      </w:r>
      <w:r>
        <w:rPr>
          <w:rFonts w:eastAsia="SimSun"/>
          <w:lang w:eastAsia="zh-CN"/>
        </w:rPr>
        <w:tab/>
        <w:t xml:space="preserve">Le Comité regrette l’absence de données complètes et détaillées sur les plaintes, les enquêtes, les poursuites et les condamnations dans les affaires concernant des actes de </w:t>
      </w:r>
      <w:r>
        <w:rPr>
          <w:rFonts w:eastAsia="SimSun"/>
          <w:lang w:eastAsia="zh-CN"/>
        </w:rPr>
        <w:lastRenderedPageBreak/>
        <w:t>torture et des mauvais traitements commis par les membres des forces de l’ordre, des services de sécurité, de l’armée et du personnel pénitentiaire.</w:t>
      </w:r>
    </w:p>
    <w:p w:rsidR="00085FA9" w:rsidRDefault="00A61F82">
      <w:pPr>
        <w:pStyle w:val="SingleTxtG"/>
        <w:rPr>
          <w:rFonts w:eastAsia="SimSun"/>
          <w:b/>
          <w:bCs/>
          <w:lang w:eastAsia="zh-CN"/>
        </w:rPr>
      </w:pPr>
      <w:r>
        <w:rPr>
          <w:rFonts w:eastAsia="SimSun"/>
          <w:lang w:eastAsia="zh-CN"/>
        </w:rPr>
        <w:t>14.</w:t>
      </w:r>
      <w:r>
        <w:rPr>
          <w:rFonts w:eastAsia="SimSun"/>
          <w:b/>
          <w:bCs/>
          <w:lang w:eastAsia="zh-CN"/>
        </w:rPr>
        <w:tab/>
        <w:t>L’État partie devrait recueillir des données statistiques utiles pour la surveillance de l’application de la Convention au niveau national, notamment sur les plaintes, les enquêtes, les poursuites et les condamnations dans des affaires de torture et de mauvais traitements, …  ainsi que sur les mesures de réparation, y compris les indemnisations et les moyens de réadaptation, accordées aux victimes.</w:t>
      </w:r>
      <w:r>
        <w:rPr>
          <w:rFonts w:eastAsia="SimSun"/>
          <w:b/>
          <w:bCs/>
          <w:color w:val="FF0000"/>
          <w:lang w:eastAsia="zh-CN"/>
        </w:rPr>
        <w:t>]</w:t>
      </w:r>
    </w:p>
    <w:p w:rsidR="00085FA9" w:rsidRDefault="00A61F82">
      <w:pPr>
        <w:pStyle w:val="H23G"/>
      </w:pPr>
      <w:r>
        <w:tab/>
      </w:r>
      <w:r>
        <w:tab/>
        <w:t>Procédure de suivi</w:t>
      </w:r>
    </w:p>
    <w:p w:rsidR="00085FA9" w:rsidRDefault="00A61F82">
      <w:pPr>
        <w:pStyle w:val="SingleTxtG"/>
      </w:pPr>
      <w:r>
        <w:t>15.</w:t>
      </w:r>
      <w:r>
        <w:tab/>
      </w:r>
      <w:r>
        <w:rPr>
          <w:b/>
          <w:bCs/>
        </w:rPr>
        <w:t xml:space="preserve">Le Comité demande à l’État partie de lui faire parvenir au plus tard le </w:t>
      </w:r>
      <w:r>
        <w:rPr>
          <w:b/>
          <w:bCs/>
          <w:color w:val="FF0000"/>
        </w:rPr>
        <w:t xml:space="preserve">date </w:t>
      </w:r>
      <w:r>
        <w:rPr>
          <w:b/>
          <w:bCs/>
        </w:rPr>
        <w:t>des renseignements sur la suite qu’il aura donnée à ses recommandations concernant … (voir paragraphes </w:t>
      </w:r>
      <w:r>
        <w:rPr>
          <w:b/>
          <w:bCs/>
          <w:color w:val="FF0000"/>
        </w:rPr>
        <w:t>X</w:t>
      </w:r>
      <w:r>
        <w:rPr>
          <w:b/>
          <w:bCs/>
        </w:rPr>
        <w:t xml:space="preserve">, </w:t>
      </w:r>
      <w:r>
        <w:rPr>
          <w:b/>
          <w:bCs/>
          <w:color w:val="FF0000"/>
        </w:rPr>
        <w:t>X</w:t>
      </w:r>
      <w:r>
        <w:rPr>
          <w:b/>
          <w:bCs/>
        </w:rPr>
        <w:t xml:space="preserve">, </w:t>
      </w:r>
      <w:r>
        <w:rPr>
          <w:b/>
          <w:bCs/>
          <w:color w:val="FF0000"/>
        </w:rPr>
        <w:t>X</w:t>
      </w:r>
      <w:r>
        <w:rPr>
          <w:b/>
          <w:bCs/>
        </w:rPr>
        <w:t xml:space="preserve"> et </w:t>
      </w:r>
      <w:r>
        <w:rPr>
          <w:b/>
          <w:bCs/>
          <w:color w:val="FF0000"/>
        </w:rPr>
        <w:t>X</w:t>
      </w:r>
      <w:r>
        <w:rPr>
          <w:b/>
          <w:bCs/>
        </w:rPr>
        <w:t>). Dans ce contexte, l’État partie est invité à informer le Comité des mesures qu’il prévoit de prendre pour mettre en œuvre, d’ici la soumission de son prochain rapport, tout ou partie des autres recommandations formulées dans les présentes observations finales.</w:t>
      </w:r>
    </w:p>
    <w:p w:rsidR="00085FA9" w:rsidRDefault="00A61F82">
      <w:pPr>
        <w:pStyle w:val="H23G"/>
      </w:pPr>
      <w:r>
        <w:tab/>
      </w:r>
      <w:r>
        <w:tab/>
        <w:t>Autres questions</w:t>
      </w:r>
    </w:p>
    <w:p w:rsidR="00085FA9" w:rsidRDefault="00A61F82">
      <w:pPr>
        <w:pStyle w:val="SingleTxtG"/>
        <w:rPr>
          <w:b/>
        </w:rPr>
      </w:pPr>
      <w:r>
        <w:t>16.</w:t>
      </w:r>
      <w:r>
        <w:tab/>
      </w:r>
      <w:r>
        <w:rPr>
          <w:b/>
        </w:rPr>
        <w:t xml:space="preserve">Le Comité encourage l’État partie à étudier la possibilité de faire </w:t>
      </w:r>
      <w:r>
        <w:rPr>
          <w:b/>
          <w:color w:val="FF0000"/>
        </w:rPr>
        <w:t>[la déclaration prévue à l’article 22] [les déclarations prévues aux articles 21 et 22]</w:t>
      </w:r>
      <w:r>
        <w:rPr>
          <w:b/>
        </w:rPr>
        <w:t xml:space="preserve"> de la Convention </w:t>
      </w:r>
      <w:r>
        <w:rPr>
          <w:b/>
          <w:color w:val="FF0000"/>
        </w:rPr>
        <w:t>[</w:t>
      </w:r>
      <w:r>
        <w:rPr>
          <w:b/>
        </w:rPr>
        <w:t xml:space="preserve">par </w:t>
      </w:r>
      <w:r>
        <w:rPr>
          <w:b/>
          <w:color w:val="FF0000"/>
        </w:rPr>
        <w:t>laquelle/lesquelles</w:t>
      </w:r>
      <w:r>
        <w:rPr>
          <w:b/>
        </w:rPr>
        <w:t xml:space="preserve"> il reconnaîtrait la compétence du Comité pour recevoir et examiner des communications émanant de particuliers relevant de sa juridiction</w:t>
      </w:r>
      <w:r>
        <w:rPr>
          <w:b/>
          <w:color w:val="FF0000"/>
        </w:rPr>
        <w:t>]</w:t>
      </w:r>
      <w:r>
        <w:rPr>
          <w:b/>
        </w:rPr>
        <w:t>.</w:t>
      </w:r>
    </w:p>
    <w:p w:rsidR="00085FA9" w:rsidRDefault="00A61F82">
      <w:pPr>
        <w:pStyle w:val="SingleTxtG"/>
        <w:rPr>
          <w:b/>
          <w:bCs/>
        </w:rPr>
      </w:pPr>
      <w:r>
        <w:t>17.</w:t>
      </w:r>
      <w:r>
        <w:tab/>
      </w:r>
      <w:r>
        <w:rPr>
          <w:b/>
        </w:rPr>
        <w:t xml:space="preserve">Le Comité invite l’État partie à étudier la possibilité de ratifier les principaux instruments des Nations Unies relatifs aux droits de l’homme auxquels il n’est pas encore partie </w:t>
      </w:r>
      <w:r>
        <w:rPr>
          <w:b/>
          <w:color w:val="FF0000"/>
        </w:rPr>
        <w:t>[</w:t>
      </w:r>
      <w:r>
        <w:rPr>
          <w:b/>
        </w:rPr>
        <w:t xml:space="preserve">, à savoir … </w:t>
      </w:r>
      <w:r>
        <w:rPr>
          <w:b/>
          <w:color w:val="FF0000"/>
        </w:rPr>
        <w:t>]</w:t>
      </w:r>
      <w:r>
        <w:rPr>
          <w:b/>
          <w:bCs/>
        </w:rPr>
        <w:t>.</w:t>
      </w:r>
    </w:p>
    <w:p w:rsidR="00085FA9" w:rsidRDefault="00A61F82">
      <w:pPr>
        <w:pStyle w:val="SingleTxtG"/>
        <w:rPr>
          <w:b/>
        </w:rPr>
      </w:pPr>
      <w:r>
        <w:t>18.</w:t>
      </w:r>
      <w:r>
        <w:tab/>
      </w:r>
      <w:r>
        <w:rPr>
          <w:b/>
        </w:rPr>
        <w:t>L’État partie est invité à diffuser largement le rapport soumis au Comité ainsi que les présentes observations finales, dans les langues voulues, au moyen des sites Web officiels et par l’intermédiaire des médias et des organisations non gouvernementales.</w:t>
      </w:r>
    </w:p>
    <w:p w:rsidR="00085FA9" w:rsidRDefault="00A61F82">
      <w:pPr>
        <w:pStyle w:val="SingleTxtG"/>
      </w:pPr>
      <w:r>
        <w:rPr>
          <w:color w:val="FF0000"/>
        </w:rPr>
        <w:t>[</w:t>
      </w:r>
      <w:r>
        <w:t>19.</w:t>
      </w:r>
      <w:r>
        <w:tab/>
      </w:r>
      <w:r>
        <w:rPr>
          <w:b/>
        </w:rPr>
        <w:t xml:space="preserve">L’État partie est invité à soumettre son </w:t>
      </w:r>
      <w:r>
        <w:rPr>
          <w:b/>
          <w:color w:val="FF0000"/>
        </w:rPr>
        <w:t>énième</w:t>
      </w:r>
      <w:r>
        <w:rPr>
          <w:b/>
        </w:rPr>
        <w:t xml:space="preserve"> rapport périodique d’ici le </w:t>
      </w:r>
      <w:r>
        <w:rPr>
          <w:b/>
          <w:color w:val="FF0000"/>
        </w:rPr>
        <w:t>date</w:t>
      </w:r>
      <w:r>
        <w:rPr>
          <w:b/>
        </w:rPr>
        <w:t xml:space="preserve">. </w:t>
      </w:r>
      <w:r>
        <w:rPr>
          <w:b/>
          <w:color w:val="FF0000"/>
        </w:rPr>
        <w:t>[À cette fin, et]</w:t>
      </w:r>
      <w:r>
        <w:rPr>
          <w:b/>
        </w:rPr>
        <w:t xml:space="preserve"> </w:t>
      </w:r>
      <w:r>
        <w:rPr>
          <w:b/>
          <w:color w:val="FF0000"/>
        </w:rPr>
        <w:t>[compte tenu du fait] [étant donné]</w:t>
      </w:r>
      <w:r>
        <w:rPr>
          <w:b/>
        </w:rPr>
        <w:t xml:space="preserve"> qu’il a accepté d’établir son rapport selon la procédure simplifiée, le Comité lui fera parvenir en temps utile une liste préalable de points à traiter. L’État partie est également invité à soumettre son document de base commun conformément aux instructions qui figurent dans les directives harmonisées pour l’établissement des rapports au titre des instruments internationaux relatifs aux droits de l’homme (HRI/GEN.2/Rev.6).</w:t>
      </w:r>
      <w:r>
        <w:rPr>
          <w:color w:val="FF0000"/>
        </w:rPr>
        <w:t>]</w:t>
      </w:r>
    </w:p>
    <w:p w:rsidR="00085FA9" w:rsidRDefault="00A61F82">
      <w:pPr>
        <w:pStyle w:val="SingleTxtG"/>
        <w:rPr>
          <w:b/>
          <w:bCs/>
          <w:color w:val="FF0000"/>
        </w:rPr>
      </w:pPr>
      <w:r>
        <w:rPr>
          <w:color w:val="FF0000"/>
        </w:rPr>
        <w:t>[</w:t>
      </w:r>
      <w:r>
        <w:t>19.</w:t>
      </w:r>
      <w:r>
        <w:rPr>
          <w:color w:val="00B0F0"/>
        </w:rPr>
        <w:tab/>
      </w:r>
      <w:r>
        <w:rPr>
          <w:b/>
        </w:rPr>
        <w:t xml:space="preserve"> Le Comité prie l’État partie de soumettre son prochain rapport périodique, qui sera le </w:t>
      </w:r>
      <w:r>
        <w:rPr>
          <w:b/>
          <w:color w:val="FF0000"/>
        </w:rPr>
        <w:t>énième</w:t>
      </w:r>
      <w:r>
        <w:rPr>
          <w:b/>
        </w:rPr>
        <w:t xml:space="preserve">, le </w:t>
      </w:r>
      <w:r>
        <w:rPr>
          <w:b/>
          <w:color w:val="FF0000"/>
        </w:rPr>
        <w:t xml:space="preserve">date </w:t>
      </w:r>
      <w:r>
        <w:rPr>
          <w:b/>
        </w:rPr>
        <w:t xml:space="preserve">au plus tard. À cette fin, et compte tenu du fait que l’État partie a accepté d’établir son rapport selon la procédure simplifiée, le Comité lui adressera en temps voulu une liste préalable de points à traiter. Les réponses de l’État partie à cette liste constitueront le </w:t>
      </w:r>
      <w:r>
        <w:rPr>
          <w:b/>
          <w:color w:val="FF0000"/>
        </w:rPr>
        <w:t>énième</w:t>
      </w:r>
      <w:r>
        <w:rPr>
          <w:b/>
        </w:rPr>
        <w:t xml:space="preserve"> rapport périodique qu’il soumettra en application de l’article 19 de la Convention.</w:t>
      </w:r>
      <w:r>
        <w:rPr>
          <w:color w:val="FF0000"/>
        </w:rPr>
        <w:t>]</w:t>
      </w:r>
    </w:p>
    <w:p w:rsidR="00085FA9" w:rsidRDefault="00A61F82">
      <w:pPr>
        <w:pStyle w:val="SingleTxtG"/>
        <w:rPr>
          <w:b/>
        </w:rPr>
      </w:pPr>
      <w:r>
        <w:rPr>
          <w:color w:val="FF0000"/>
        </w:rPr>
        <w:t>[</w:t>
      </w:r>
      <w:r>
        <w:t>19.</w:t>
      </w:r>
      <w:r>
        <w:rPr>
          <w:color w:val="FF0000"/>
        </w:rPr>
        <w:tab/>
      </w:r>
      <w:r>
        <w:rPr>
          <w:b/>
        </w:rPr>
        <w:t xml:space="preserve">Le Comité prie l’État partie de soumettre son prochain rapport périodique, qui sera le </w:t>
      </w:r>
      <w:r>
        <w:rPr>
          <w:b/>
          <w:color w:val="FF0000"/>
        </w:rPr>
        <w:t>énième</w:t>
      </w:r>
      <w:r>
        <w:rPr>
          <w:b/>
        </w:rPr>
        <w:t xml:space="preserve">, le </w:t>
      </w:r>
      <w:r>
        <w:rPr>
          <w:b/>
          <w:color w:val="FF0000"/>
        </w:rPr>
        <w:t xml:space="preserve">date </w:t>
      </w:r>
      <w:r>
        <w:rPr>
          <w:b/>
        </w:rPr>
        <w:t xml:space="preserve">au plus tard. À cette fin, il invite l’État partie à accepter d’ici le </w:t>
      </w:r>
      <w:r>
        <w:rPr>
          <w:b/>
          <w:color w:val="FF0000"/>
        </w:rPr>
        <w:t xml:space="preserve">date </w:t>
      </w:r>
      <w:r>
        <w:rPr>
          <w:b/>
        </w:rPr>
        <w:t xml:space="preserve">la procédure simplifiée d’établissement des rapports, dans le cadre de laquelle le Comité communique à l’État partie une liste de points avant que celui-ci ne soumette le rapport attendu. Les réponses de l’État partie à cette liste constitueront alors le </w:t>
      </w:r>
      <w:r>
        <w:rPr>
          <w:b/>
          <w:color w:val="FF0000"/>
        </w:rPr>
        <w:t>énième</w:t>
      </w:r>
      <w:r>
        <w:rPr>
          <w:b/>
        </w:rPr>
        <w:t xml:space="preserve"> rapport périodique qu’il soumettra en application de l’article 19 de la Convention.</w:t>
      </w:r>
      <w:r>
        <w:rPr>
          <w:b/>
          <w:color w:val="FF0000"/>
        </w:rPr>
        <w:t>]</w:t>
      </w:r>
    </w:p>
    <w:p w:rsidR="00085FA9" w:rsidRDefault="00A61F82">
      <w:pPr>
        <w:pStyle w:val="H23G"/>
        <w:jc w:val="center"/>
        <w:rPr>
          <w:b w:val="0"/>
          <w:bCs/>
        </w:rPr>
      </w:pPr>
      <w:r>
        <w:rPr>
          <w:b w:val="0"/>
          <w:bCs/>
          <w:u w:val="single"/>
        </w:rPr>
        <w:tab/>
      </w:r>
      <w:r>
        <w:rPr>
          <w:b w:val="0"/>
          <w:bCs/>
          <w:u w:val="single"/>
        </w:rPr>
        <w:tab/>
      </w:r>
      <w:r>
        <w:rPr>
          <w:b w:val="0"/>
          <w:bCs/>
          <w:u w:val="single"/>
        </w:rPr>
        <w:tab/>
      </w:r>
    </w:p>
    <w:sectPr w:rsidR="00085FA9">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FA9" w:rsidRDefault="00085FA9">
      <w:pPr>
        <w:spacing w:line="240" w:lineRule="auto"/>
      </w:pPr>
    </w:p>
  </w:endnote>
  <w:endnote w:type="continuationSeparator" w:id="0">
    <w:p w:rsidR="00085FA9" w:rsidRDefault="00085FA9">
      <w:pPr>
        <w:pStyle w:val="Footer"/>
      </w:pPr>
    </w:p>
  </w:endnote>
  <w:endnote w:type="continuationNotice" w:id="1">
    <w:p w:rsidR="00085FA9" w:rsidRDefault="00085F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FA9" w:rsidRDefault="00A61F82">
    <w:pPr>
      <w:pStyle w:val="Footer"/>
      <w:tabs>
        <w:tab w:val="right" w:pos="9639"/>
      </w:tabs>
    </w:pPr>
    <w:r>
      <w:rPr>
        <w:b/>
        <w:sz w:val="18"/>
      </w:rPr>
      <w:fldChar w:fldCharType="begin"/>
    </w:r>
    <w:r>
      <w:rPr>
        <w:b/>
        <w:sz w:val="18"/>
      </w:rPr>
      <w:instrText xml:space="preserve"> PAGE  \* MERGEFORMAT </w:instrText>
    </w:r>
    <w:r>
      <w:rPr>
        <w:b/>
        <w:sz w:val="18"/>
      </w:rPr>
      <w:fldChar w:fldCharType="separate"/>
    </w:r>
    <w:r w:rsidR="009B406C">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FA9" w:rsidRDefault="00A61F82">
    <w:pPr>
      <w:pStyle w:val="Footer"/>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FA9" w:rsidRDefault="00A61F82">
    <w:pPr>
      <w:pStyle w:val="Footer"/>
      <w:spacing w:before="120"/>
      <w:rPr>
        <w:noProof/>
        <w:sz w:val="20"/>
        <w:lang w:eastAsia="fr-FR"/>
      </w:rPr>
    </w:pPr>
    <w:r>
      <w:rPr>
        <w:noProof/>
        <w:lang w:eastAsia="zh-CN"/>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85FA9">
      <w:tc>
        <w:tcPr>
          <w:tcW w:w="1848" w:type="dxa"/>
          <w:vAlign w:val="bottom"/>
        </w:tcPr>
        <w:p w:rsidR="00085FA9" w:rsidRDefault="00A61F82">
          <w:pPr>
            <w:spacing w:before="120" w:after="120" w:line="240" w:lineRule="auto"/>
            <w:jc w:val="right"/>
            <w:rPr>
              <w:sz w:val="16"/>
            </w:rPr>
          </w:pPr>
          <w:r>
            <w:rPr>
              <w:noProof/>
              <w:lang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85FA9" w:rsidRDefault="00085FA9">
          <w:pPr>
            <w:spacing w:line="240" w:lineRule="auto"/>
            <w:jc w:val="right"/>
            <w:rPr>
              <w:sz w:val="16"/>
            </w:rPr>
          </w:pPr>
        </w:p>
      </w:tc>
    </w:tr>
  </w:tbl>
  <w:p w:rsidR="00085FA9" w:rsidRDefault="00A61F82">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FA9" w:rsidRDefault="00A61F82">
      <w:pPr>
        <w:pStyle w:val="Footer"/>
        <w:tabs>
          <w:tab w:val="right" w:pos="2155"/>
        </w:tabs>
        <w:spacing w:after="80" w:line="240" w:lineRule="atLeast"/>
        <w:ind w:left="680"/>
        <w:rPr>
          <w:u w:val="single"/>
        </w:rPr>
      </w:pPr>
      <w:r>
        <w:rPr>
          <w:u w:val="single"/>
        </w:rPr>
        <w:tab/>
      </w:r>
    </w:p>
  </w:footnote>
  <w:footnote w:type="continuationSeparator" w:id="0">
    <w:p w:rsidR="00085FA9" w:rsidRDefault="00A61F82">
      <w:pPr>
        <w:pStyle w:val="Footer"/>
        <w:tabs>
          <w:tab w:val="right" w:pos="2155"/>
        </w:tabs>
        <w:spacing w:after="80" w:line="240" w:lineRule="atLeast"/>
        <w:ind w:left="680"/>
        <w:rPr>
          <w:u w:val="single"/>
        </w:rPr>
      </w:pPr>
      <w:r>
        <w:rPr>
          <w:u w:val="single"/>
        </w:rPr>
        <w:tab/>
      </w:r>
    </w:p>
  </w:footnote>
  <w:footnote w:type="continuationNotice" w:id="1">
    <w:p w:rsidR="00085FA9" w:rsidRDefault="00085FA9">
      <w:pPr>
        <w:spacing w:line="240" w:lineRule="auto"/>
        <w:rPr>
          <w:sz w:val="2"/>
          <w:szCs w:val="2"/>
        </w:rPr>
      </w:pPr>
    </w:p>
  </w:footnote>
  <w:footnote w:id="2">
    <w:p w:rsidR="00085FA9" w:rsidRDefault="00A61F82">
      <w:pPr>
        <w:pStyle w:val="FootnoteText"/>
      </w:pPr>
      <w:r>
        <w:tab/>
      </w:r>
      <w:r>
        <w:rPr>
          <w:rStyle w:val="FootnoteReference"/>
          <w:sz w:val="20"/>
          <w:vertAlign w:val="baseline"/>
        </w:rPr>
        <w:t>*</w:t>
      </w:r>
      <w:r>
        <w:rPr>
          <w:sz w:val="20"/>
        </w:rPr>
        <w:tab/>
      </w:r>
      <w:r>
        <w:t xml:space="preserve">Adoptées par le Comité à sa </w:t>
      </w:r>
      <w:r>
        <w:rPr>
          <w:color w:val="FF0000"/>
        </w:rPr>
        <w:t>[énième]</w:t>
      </w:r>
      <w:r>
        <w:t xml:space="preserve"> 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FA9" w:rsidRDefault="00A61F82">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FA9" w:rsidRDefault="00A61F82">
    <w:pPr>
      <w:pStyle w:val="Header"/>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DF6837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1FF44772"/>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9121FFA"/>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activeWritingStyle w:appName="MSWord" w:lang="fr-CH" w:vendorID="64" w:dllVersion="6" w:nlCheck="1" w:checkStyle="1"/>
  <w:activeWritingStyle w:appName="MSWord" w:lang="en-US" w:vendorID="64" w:dllVersion="6" w:nlCheck="1" w:checkStyle="1"/>
  <w:activeWritingStyle w:appName="MSWord" w:lang="fr-CH" w:vendorID="64" w:dllVersion="0" w:nlCheck="1" w:checkStyle="0"/>
  <w:defaultTabStop w:val="567"/>
  <w:hyphenationZone w:val="425"/>
  <w:evenAndOddHeaders/>
  <w:characterSpacingControl w:val="doNotCompress"/>
  <w:hdrShapeDefaults>
    <o:shapedefaults v:ext="edit" spidmax="5529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A9"/>
    <w:rsid w:val="00085FA9"/>
    <w:rsid w:val="000E12EA"/>
    <w:rsid w:val="009B406C"/>
    <w:rsid w:val="00A61F82"/>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outlineLvl w:val="1"/>
    </w:pPr>
  </w:style>
  <w:style w:type="paragraph" w:styleId="Heading3">
    <w:name w:val="heading 3"/>
    <w:basedOn w:val="Normal"/>
    <w:next w:val="Normal"/>
    <w:link w:val="Heading3Char"/>
    <w:semiHidden/>
    <w:qFormat/>
    <w:pPr>
      <w:outlineLvl w:val="2"/>
    </w:pPr>
  </w:style>
  <w:style w:type="paragraph" w:styleId="Heading4">
    <w:name w:val="heading 4"/>
    <w:basedOn w:val="Normal"/>
    <w:next w:val="Normal"/>
    <w:link w:val="Heading4Char"/>
    <w:semiHidden/>
    <w:qFormat/>
    <w:pPr>
      <w:outlineLvl w:val="3"/>
    </w:pPr>
  </w:style>
  <w:style w:type="paragraph" w:styleId="Heading5">
    <w:name w:val="heading 5"/>
    <w:basedOn w:val="Normal"/>
    <w:next w:val="Normal"/>
    <w:link w:val="Heading5Char"/>
    <w:semiHidden/>
    <w:qFormat/>
    <w:pPr>
      <w:outlineLvl w:val="4"/>
    </w:pPr>
  </w:style>
  <w:style w:type="paragraph" w:styleId="Heading6">
    <w:name w:val="heading 6"/>
    <w:basedOn w:val="Normal"/>
    <w:next w:val="Normal"/>
    <w:link w:val="Heading6Char"/>
    <w:semiHidden/>
    <w:qFormat/>
    <w:pPr>
      <w:outlineLvl w:val="5"/>
    </w:pPr>
  </w:style>
  <w:style w:type="paragraph" w:styleId="Heading7">
    <w:name w:val="heading 7"/>
    <w:basedOn w:val="Normal"/>
    <w:next w:val="Normal"/>
    <w:link w:val="Heading7Char"/>
    <w:semiHidden/>
    <w:qFormat/>
    <w:pPr>
      <w:outlineLvl w:val="6"/>
    </w:pPr>
  </w:style>
  <w:style w:type="paragraph" w:styleId="Heading8">
    <w:name w:val="heading 8"/>
    <w:basedOn w:val="Normal"/>
    <w:next w:val="Normal"/>
    <w:link w:val="Heading8Char"/>
    <w:semiHidden/>
    <w:qFormat/>
    <w:pPr>
      <w:outlineLvl w:val="7"/>
    </w:pPr>
  </w:style>
  <w:style w:type="paragraph" w:styleId="Heading9">
    <w:name w:val="heading 9"/>
    <w:basedOn w:val="Normal"/>
    <w:next w:val="Normal"/>
    <w:link w:val="Heading9Char"/>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rPr>
  </w:style>
  <w:style w:type="paragraph" w:styleId="Footer">
    <w:name w:val="footer"/>
    <w:aliases w:val="3_G"/>
    <w:basedOn w:val="Normal"/>
    <w:next w:val="Normal"/>
    <w:link w:val="FooterChar"/>
    <w:qFormat/>
    <w:pPr>
      <w:spacing w:line="240" w:lineRule="auto"/>
    </w:pPr>
    <w:rPr>
      <w:sz w:val="16"/>
    </w:rPr>
  </w:style>
  <w:style w:type="character" w:customStyle="1" w:styleId="FooterChar">
    <w:name w:val="Footer Char"/>
    <w:aliases w:val="3_G Char"/>
    <w:basedOn w:val="DefaultParagraphFont"/>
    <w:link w:val="Footer"/>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FootnoteReference">
    <w:name w:val="footnote reference"/>
    <w:aliases w:val="4_G"/>
    <w:basedOn w:val="DefaultParagraphFont"/>
    <w:qFormat/>
    <w:rPr>
      <w:rFonts w:ascii="Times New Roman" w:hAnsi="Times New Roman"/>
      <w:sz w:val="18"/>
      <w:vertAlign w:val="superscript"/>
      <w:lang w:val="fr-CH"/>
    </w:rPr>
  </w:style>
  <w:style w:type="character" w:styleId="EndnoteReference">
    <w:name w:val="endnote reference"/>
    <w:aliases w:val="1_G"/>
    <w:basedOn w:val="FootnoteReference"/>
    <w:qFormat/>
    <w:rPr>
      <w:rFonts w:ascii="Times New Roman" w:hAnsi="Times New Roman"/>
      <w:sz w:val="18"/>
      <w:vertAlign w:val="superscript"/>
      <w:lang w:val="fr-CH"/>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Pr>
      <w:color w:val="0000FF"/>
      <w:u w:val="none"/>
    </w:rPr>
  </w:style>
  <w:style w:type="character" w:styleId="FollowedHyperlink">
    <w:name w:val="FollowedHyperlink"/>
    <w:basedOn w:val="DefaultParagraphFont"/>
    <w:unhideWhenUsed/>
    <w:rPr>
      <w:color w:val="0000FF"/>
      <w:u w:val="none"/>
    </w:rPr>
  </w:style>
  <w:style w:type="paragraph" w:styleId="FootnoteText">
    <w:name w:val="footnote text"/>
    <w:aliases w:val="5_G"/>
    <w:basedOn w:val="Normal"/>
    <w:link w:val="FootnoteTextChar"/>
    <w:qFormat/>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Pr>
      <w:rFonts w:ascii="Times New Roman" w:hAnsi="Times New Roman" w:cs="Times New Roman"/>
      <w:sz w:val="18"/>
      <w:szCs w:val="20"/>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rPr>
  </w:style>
  <w:style w:type="character" w:styleId="PageNumber">
    <w:name w:val="page number"/>
    <w:aliases w:val="7_G"/>
    <w:basedOn w:val="DefaultParagraphFont"/>
    <w:qFormat/>
    <w:rPr>
      <w:rFonts w:ascii="Times New Roman" w:hAnsi="Times New Roman"/>
      <w:b/>
      <w:sz w:val="18"/>
      <w:lang w:val="fr-CH"/>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829</Words>
  <Characters>4560</Characters>
  <Application>Microsoft Office Word</Application>
  <DocSecurity>0</DocSecurity>
  <Lines>38</Lines>
  <Paragraphs>10</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a/hthhhh</vt:lpstr>
      <vt:lpstr>a/hthhhh</vt:lpstr>
      <vt:lpstr>a/hthhhh</vt:lpstr>
    </vt:vector>
  </TitlesOfParts>
  <Company>DCM</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18</cp:revision>
  <cp:lastPrinted>2017-02-27T14:31:00Z</cp:lastPrinted>
  <dcterms:created xsi:type="dcterms:W3CDTF">2017-04-25T11:20:00Z</dcterms:created>
  <dcterms:modified xsi:type="dcterms:W3CDTF">2018-06-05T09:59:00Z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ies>
</file>