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471D47">
        <w:trPr>
          <w:trHeight w:hRule="exact" w:val="851"/>
        </w:trPr>
        <w:tc>
          <w:tcPr>
            <w:tcW w:w="1280" w:type="dxa"/>
            <w:tcBorders>
              <w:bottom w:val="single" w:sz="4" w:space="0" w:color="auto"/>
            </w:tcBorders>
            <w:shd w:val="clear" w:color="auto" w:fill="auto"/>
          </w:tcPr>
          <w:p w:rsidR="00471D47" w:rsidRDefault="00471D47">
            <w:bookmarkStart w:id="0" w:name="_GoBack"/>
            <w:bookmarkEnd w:id="0"/>
          </w:p>
        </w:tc>
        <w:tc>
          <w:tcPr>
            <w:tcW w:w="2273" w:type="dxa"/>
            <w:tcBorders>
              <w:bottom w:val="single" w:sz="4" w:space="0" w:color="auto"/>
            </w:tcBorders>
            <w:shd w:val="clear" w:color="auto" w:fill="auto"/>
            <w:vAlign w:val="bottom"/>
          </w:tcPr>
          <w:p w:rsidR="00471D47" w:rsidRDefault="00E13A17">
            <w:pPr>
              <w:spacing w:after="80" w:line="300" w:lineRule="exact"/>
              <w:rPr>
                <w:sz w:val="28"/>
              </w:rPr>
            </w:pPr>
            <w:r>
              <w:rPr>
                <w:sz w:val="28"/>
              </w:rPr>
              <w:t>Naciones Unidas</w:t>
            </w:r>
          </w:p>
        </w:tc>
        <w:tc>
          <w:tcPr>
            <w:tcW w:w="6086" w:type="dxa"/>
            <w:gridSpan w:val="2"/>
            <w:tcBorders>
              <w:bottom w:val="single" w:sz="4" w:space="0" w:color="auto"/>
            </w:tcBorders>
            <w:shd w:val="clear" w:color="auto" w:fill="auto"/>
            <w:vAlign w:val="bottom"/>
          </w:tcPr>
          <w:p w:rsidR="00471D47" w:rsidRDefault="00E13A17">
            <w:pPr>
              <w:jc w:val="right"/>
            </w:pPr>
            <w:r>
              <w:rPr>
                <w:sz w:val="40"/>
              </w:rPr>
              <w:t>CAT</w:t>
            </w:r>
            <w:r>
              <w:t>/</w:t>
            </w:r>
            <w:proofErr w:type="spellStart"/>
            <w:r>
              <w:fldChar w:fldCharType="begin"/>
            </w:r>
            <w:r>
              <w:instrText xml:space="preserve"> DOCPROPERTY  sym1  \* MERGEFORMAT </w:instrText>
            </w:r>
            <w:r>
              <w:fldChar w:fldCharType="separate"/>
            </w:r>
            <w:r>
              <w:t>sym1</w:t>
            </w:r>
            <w:proofErr w:type="spellEnd"/>
            <w:r>
              <w:fldChar w:fldCharType="end"/>
            </w:r>
          </w:p>
        </w:tc>
      </w:tr>
      <w:tr w:rsidR="00471D47">
        <w:trPr>
          <w:trHeight w:hRule="exact" w:val="2835"/>
        </w:trPr>
        <w:tc>
          <w:tcPr>
            <w:tcW w:w="1280" w:type="dxa"/>
            <w:tcBorders>
              <w:top w:val="single" w:sz="4" w:space="0" w:color="auto"/>
              <w:bottom w:val="single" w:sz="12" w:space="0" w:color="auto"/>
            </w:tcBorders>
            <w:shd w:val="clear" w:color="auto" w:fill="auto"/>
          </w:tcPr>
          <w:p w:rsidR="00471D47" w:rsidRDefault="00E13A17">
            <w:pPr>
              <w:spacing w:before="120"/>
              <w:jc w:val="center"/>
            </w:pPr>
            <w:r>
              <w:rPr>
                <w:noProof/>
                <w:lang w:val="fr-CH"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471D47" w:rsidRDefault="00E13A17">
            <w:pPr>
              <w:spacing w:before="120" w:line="360" w:lineRule="exact"/>
              <w:rPr>
                <w:b/>
                <w:sz w:val="34"/>
                <w:szCs w:val="34"/>
              </w:rPr>
            </w:pPr>
            <w:r>
              <w:rPr>
                <w:b/>
                <w:sz w:val="34"/>
                <w:szCs w:val="34"/>
              </w:rPr>
              <w:t>Convención contra la Tortura</w:t>
            </w:r>
            <w:r>
              <w:rPr>
                <w:b/>
                <w:sz w:val="34"/>
                <w:szCs w:val="34"/>
              </w:rPr>
              <w:br/>
              <w:t>y Otros Tratos o Penas Crueles,</w:t>
            </w:r>
            <w:r>
              <w:rPr>
                <w:b/>
                <w:sz w:val="34"/>
                <w:szCs w:val="34"/>
              </w:rPr>
              <w:br/>
              <w:t>Inhumanos o Degradantes</w:t>
            </w:r>
          </w:p>
        </w:tc>
        <w:tc>
          <w:tcPr>
            <w:tcW w:w="2819" w:type="dxa"/>
            <w:tcBorders>
              <w:top w:val="single" w:sz="4" w:space="0" w:color="auto"/>
              <w:bottom w:val="single" w:sz="12" w:space="0" w:color="auto"/>
            </w:tcBorders>
            <w:shd w:val="clear" w:color="auto" w:fill="auto"/>
          </w:tcPr>
          <w:p w:rsidR="00471D47" w:rsidRDefault="00E13A17">
            <w:pPr>
              <w:spacing w:before="240" w:line="240" w:lineRule="exact"/>
            </w:pPr>
            <w:proofErr w:type="spellStart"/>
            <w:r>
              <w:t>Distr</w:t>
            </w:r>
            <w:proofErr w:type="spellEnd"/>
            <w:r>
              <w:t xml:space="preserve">. </w:t>
            </w:r>
            <w:r>
              <w:fldChar w:fldCharType="begin"/>
            </w:r>
            <w:r>
              <w:instrText xml:space="preserve"> DOCPROPERTY  dist  \* MERGEFORMAT </w:instrText>
            </w:r>
            <w:r>
              <w:fldChar w:fldCharType="separate"/>
            </w:r>
            <w:proofErr w:type="spellStart"/>
            <w:r>
              <w:t>dist</w:t>
            </w:r>
            <w:proofErr w:type="spellEnd"/>
            <w:r>
              <w:fldChar w:fldCharType="end"/>
            </w:r>
          </w:p>
          <w:p w:rsidR="00471D47" w:rsidRDefault="00E13A17">
            <w:fldSimple w:instr=" DOCPROPERTY  date  \* MERGEFORMAT ">
              <w:r>
                <w:t>date</w:t>
              </w:r>
            </w:fldSimple>
          </w:p>
          <w:p w:rsidR="00471D47" w:rsidRDefault="00E13A17">
            <w:r>
              <w:fldChar w:fldCharType="begin"/>
            </w:r>
            <w:r>
              <w:instrText xml:space="preserve"> DOCPROPERTY  tlang  \* MERGEFORMAT </w:instrText>
            </w:r>
            <w:r>
              <w:fldChar w:fldCharType="separate"/>
            </w:r>
            <w:proofErr w:type="spellStart"/>
            <w:r>
              <w:t>tlang</w:t>
            </w:r>
            <w:proofErr w:type="spellEnd"/>
            <w:r>
              <w:fldChar w:fldCharType="end"/>
            </w:r>
          </w:p>
          <w:p w:rsidR="00471D47" w:rsidRDefault="00E13A17">
            <w:r>
              <w:t xml:space="preserve">Original: </w:t>
            </w:r>
            <w:r>
              <w:fldChar w:fldCharType="begin"/>
            </w:r>
            <w:r>
              <w:instrText xml:space="preserve"> DOCPROPERTY  olang  \* MERGEFORMAT </w:instrText>
            </w:r>
            <w:r>
              <w:fldChar w:fldCharType="separate"/>
            </w:r>
            <w:proofErr w:type="spellStart"/>
            <w:r>
              <w:t>olang</w:t>
            </w:r>
            <w:proofErr w:type="spellEnd"/>
            <w:r>
              <w:fldChar w:fldCharType="end"/>
            </w:r>
          </w:p>
          <w:p w:rsidR="00471D47" w:rsidRDefault="00E13A17">
            <w:pPr>
              <w:spacing w:line="240" w:lineRule="exact"/>
            </w:pPr>
            <w:r>
              <w:fldChar w:fldCharType="begin"/>
            </w:r>
            <w:r>
              <w:instrText xml:space="preserve"> DOCPROPERTY  virs  \* MERGEFORMAT </w:instrText>
            </w:r>
            <w:r>
              <w:fldChar w:fldCharType="separate"/>
            </w:r>
            <w:proofErr w:type="spellStart"/>
            <w:r>
              <w:t>virs</w:t>
            </w:r>
            <w:proofErr w:type="spellEnd"/>
            <w:r>
              <w:fldChar w:fldCharType="end"/>
            </w:r>
          </w:p>
        </w:tc>
      </w:tr>
    </w:tbl>
    <w:p w:rsidR="00471D47" w:rsidRDefault="00E13A17">
      <w:pPr>
        <w:spacing w:before="120"/>
        <w:rPr>
          <w:b/>
          <w:sz w:val="24"/>
          <w:szCs w:val="24"/>
        </w:rPr>
      </w:pPr>
      <w:r>
        <w:rPr>
          <w:b/>
          <w:sz w:val="24"/>
          <w:szCs w:val="24"/>
        </w:rPr>
        <w:t>Comité contra la Tortura</w:t>
      </w:r>
    </w:p>
    <w:p w:rsidR="00471D47" w:rsidRDefault="00E13A17">
      <w:pPr>
        <w:pStyle w:val="HChG"/>
      </w:pPr>
      <w:r>
        <w:tab/>
      </w:r>
      <w:r>
        <w:tab/>
      </w:r>
      <w:r>
        <w:rPr>
          <w:lang w:val="es-ES_tradnl"/>
        </w:rPr>
        <w:t xml:space="preserve">Observaciones finales sobre </w:t>
      </w:r>
      <w:r w:rsidRPr="00E13A17">
        <w:rPr>
          <w:color w:val="FF0000"/>
          <w:lang w:val="es-ES_tradnl"/>
        </w:rPr>
        <w:t>[el/los]</w:t>
      </w:r>
      <w:r>
        <w:rPr>
          <w:lang w:val="es-ES_tradnl"/>
        </w:rPr>
        <w:t xml:space="preserve"> </w:t>
      </w:r>
      <w:r>
        <w:rPr>
          <w:lang w:val="es-ES_tradnl"/>
        </w:rPr>
        <w:fldChar w:fldCharType="begin"/>
      </w:r>
      <w:r>
        <w:rPr>
          <w:lang w:val="es-ES_tradnl"/>
        </w:rPr>
        <w:instrText xml:space="preserve"> DOCPROPERTY  preps  \* MERGEFORMAT </w:instrText>
      </w:r>
      <w:r>
        <w:rPr>
          <w:lang w:val="es-ES_tradnl"/>
        </w:rPr>
        <w:fldChar w:fldCharType="separate"/>
      </w:r>
      <w:proofErr w:type="spellStart"/>
      <w:r>
        <w:rPr>
          <w:lang w:val="es-ES_tradnl"/>
        </w:rPr>
        <w:t>preps</w:t>
      </w:r>
      <w:proofErr w:type="spellEnd"/>
      <w:r>
        <w:rPr>
          <w:lang w:val="es-ES_tradnl"/>
        </w:rPr>
        <w:fldChar w:fldCharType="end"/>
      </w:r>
      <w:r>
        <w:rPr>
          <w:rStyle w:val="FootnoteReference"/>
          <w:b w:val="0"/>
          <w:sz w:val="20"/>
          <w:vertAlign w:val="baseline"/>
          <w:lang w:val="es-ES_tradnl"/>
        </w:rPr>
        <w:footnoteReference w:customMarkFollows="1" w:id="1"/>
        <w:t>*</w:t>
      </w:r>
    </w:p>
    <w:p w:rsidR="00471D47" w:rsidRDefault="00E13A17">
      <w:pPr>
        <w:pStyle w:val="SingleTxtG"/>
      </w:pPr>
      <w:r>
        <w:t>1.</w:t>
      </w:r>
      <w:r>
        <w:tab/>
      </w:r>
      <w:r>
        <w:rPr>
          <w:lang w:val="es-ES_tradnl"/>
        </w:rPr>
        <w:t xml:space="preserve">El Comité contra la Tortura examinó </w:t>
      </w:r>
      <w:r>
        <w:rPr>
          <w:color w:val="FF0000"/>
          <w:lang w:val="es-ES_tradnl"/>
        </w:rPr>
        <w:t>[el informe inicial]</w:t>
      </w:r>
      <w:r>
        <w:rPr>
          <w:lang w:val="es-ES_tradnl"/>
        </w:rPr>
        <w:t xml:space="preserve"> </w:t>
      </w:r>
      <w:r>
        <w:rPr>
          <w:color w:val="FF0000"/>
          <w:lang w:val="es-ES_tradnl"/>
        </w:rPr>
        <w:t>[los informes periódicos combinados números]</w:t>
      </w:r>
      <w:r>
        <w:rPr>
          <w:lang w:val="es-ES_tradnl"/>
        </w:rPr>
        <w:t xml:space="preserve"> </w:t>
      </w:r>
      <w:r>
        <w:rPr>
          <w:color w:val="FF0000"/>
          <w:lang w:val="es-ES_tradnl"/>
        </w:rPr>
        <w:t>[el número informe periódico]</w:t>
      </w:r>
      <w:r>
        <w:rPr>
          <w:lang w:val="es-ES_tradnl"/>
        </w:rPr>
        <w:t xml:space="preserve"> de </w:t>
      </w:r>
      <w:r>
        <w:rPr>
          <w:color w:val="FF0000"/>
          <w:lang w:val="es-ES_tradnl"/>
        </w:rPr>
        <w:t>país</w:t>
      </w:r>
      <w:r>
        <w:rPr>
          <w:lang w:val="es-ES_tradnl"/>
        </w:rPr>
        <w:t xml:space="preserve"> (CAT/C/</w:t>
      </w:r>
      <w:r>
        <w:rPr>
          <w:color w:val="FF0000"/>
          <w:lang w:val="es-ES_tradnl"/>
        </w:rPr>
        <w:t>XXX</w:t>
      </w:r>
      <w:r>
        <w:rPr>
          <w:lang w:val="es-ES_tradnl"/>
        </w:rPr>
        <w:t>/</w:t>
      </w:r>
      <w:r>
        <w:rPr>
          <w:color w:val="FF0000"/>
          <w:lang w:val="es-ES_tradnl"/>
        </w:rPr>
        <w:t>Y</w:t>
      </w:r>
      <w:r>
        <w:rPr>
          <w:lang w:val="es-ES_tradnl"/>
        </w:rPr>
        <w:t xml:space="preserve">) en sus sesiones </w:t>
      </w:r>
      <w:r>
        <w:rPr>
          <w:color w:val="FF0000"/>
          <w:lang w:val="es-ES_tradnl"/>
        </w:rPr>
        <w:t>números</w:t>
      </w:r>
      <w:r>
        <w:rPr>
          <w:lang w:val="es-ES_tradnl"/>
        </w:rPr>
        <w:t xml:space="preserve"> (véanse CAT/C/</w:t>
      </w:r>
      <w:proofErr w:type="spellStart"/>
      <w:r>
        <w:rPr>
          <w:lang w:val="es-ES_tradnl"/>
        </w:rPr>
        <w:t>SR.</w:t>
      </w:r>
      <w:r>
        <w:rPr>
          <w:color w:val="FF0000"/>
          <w:lang w:val="es-ES_tradnl"/>
        </w:rPr>
        <w:t>XXX</w:t>
      </w:r>
      <w:proofErr w:type="spellEnd"/>
      <w:r>
        <w:rPr>
          <w:lang w:val="es-ES_tradnl"/>
        </w:rPr>
        <w:t xml:space="preserve"> y </w:t>
      </w:r>
      <w:r>
        <w:rPr>
          <w:color w:val="FF0000"/>
          <w:lang w:val="es-ES_tradnl"/>
        </w:rPr>
        <w:t>XXX</w:t>
      </w:r>
      <w:r>
        <w:rPr>
          <w:lang w:val="es-ES_tradnl"/>
        </w:rPr>
        <w:t xml:space="preserve">), celebradas los días </w:t>
      </w:r>
      <w:r>
        <w:rPr>
          <w:color w:val="FF0000"/>
          <w:lang w:val="es-ES_tradnl"/>
        </w:rPr>
        <w:t>fechas</w:t>
      </w:r>
      <w:r>
        <w:rPr>
          <w:lang w:val="es-ES_tradnl"/>
        </w:rPr>
        <w:t xml:space="preserve">, y aprobó en su </w:t>
      </w:r>
      <w:r>
        <w:rPr>
          <w:color w:val="FF0000"/>
          <w:lang w:val="es-ES_tradnl"/>
        </w:rPr>
        <w:t>número</w:t>
      </w:r>
      <w:r>
        <w:rPr>
          <w:lang w:val="es-ES_tradnl"/>
        </w:rPr>
        <w:t xml:space="preserve"> sesión, celebrada el </w:t>
      </w:r>
      <w:r>
        <w:rPr>
          <w:color w:val="FF0000"/>
          <w:lang w:val="es-ES_tradnl"/>
        </w:rPr>
        <w:t>fecha</w:t>
      </w:r>
      <w:r>
        <w:rPr>
          <w:lang w:val="es-ES_tradnl"/>
        </w:rPr>
        <w:t xml:space="preserve"> las presentes observaciones finales.</w:t>
      </w:r>
    </w:p>
    <w:p w:rsidR="00471D47" w:rsidRDefault="00E13A17">
      <w:pPr>
        <w:pStyle w:val="H1G"/>
      </w:pPr>
      <w:r>
        <w:tab/>
        <w:t>A.</w:t>
      </w:r>
      <w:r>
        <w:tab/>
      </w:r>
      <w:r>
        <w:rPr>
          <w:lang w:val="es-ES_tradnl"/>
        </w:rPr>
        <w:t>Introducción</w:t>
      </w:r>
    </w:p>
    <w:p w:rsidR="00471D47" w:rsidRDefault="00E13A17">
      <w:pPr>
        <w:pStyle w:val="H1G"/>
      </w:pPr>
      <w:r>
        <w:tab/>
        <w:t>B.</w:t>
      </w:r>
      <w:r>
        <w:tab/>
      </w:r>
      <w:r>
        <w:rPr>
          <w:lang w:val="es-ES_tradnl"/>
        </w:rPr>
        <w:t>Aspectos positivos</w:t>
      </w:r>
    </w:p>
    <w:p w:rsidR="00471D47" w:rsidRDefault="00E13A17">
      <w:pPr>
        <w:pStyle w:val="SingleTxtG"/>
      </w:pPr>
      <w:r>
        <w:t>3.</w:t>
      </w:r>
      <w:r>
        <w:tab/>
      </w:r>
      <w:r>
        <w:rPr>
          <w:lang w:val="es-ES_tradnl"/>
        </w:rPr>
        <w:t>El Comité acoge con beneplácito la ratificación de los siguientes instrumentos internacionales por el Estado parte o su adhesión a ellos:</w:t>
      </w:r>
    </w:p>
    <w:p w:rsidR="00471D47" w:rsidRDefault="00E13A17">
      <w:pPr>
        <w:pStyle w:val="SingleTxtG"/>
      </w:pPr>
      <w:r>
        <w:rPr>
          <w:lang w:val="es-ES_tradnl"/>
        </w:rPr>
        <w:tab/>
        <w:t>a)</w:t>
      </w:r>
      <w:r>
        <w:tab/>
      </w:r>
      <w:r>
        <w:rPr>
          <w:color w:val="FF0000"/>
          <w:lang w:val="es-ES_tradnl"/>
        </w:rPr>
        <w:t>[…]</w:t>
      </w:r>
      <w:r>
        <w:rPr>
          <w:lang w:val="es-ES_tradnl"/>
        </w:rPr>
        <w:t xml:space="preserve">, el </w:t>
      </w:r>
      <w:r>
        <w:rPr>
          <w:color w:val="FF0000"/>
          <w:lang w:val="es-ES_tradnl"/>
        </w:rPr>
        <w:t>fecha</w:t>
      </w:r>
      <w:r>
        <w:rPr>
          <w:lang w:val="es-ES_tradnl"/>
        </w:rPr>
        <w:t>;</w:t>
      </w:r>
    </w:p>
    <w:p w:rsidR="00471D47" w:rsidRDefault="00E13A17">
      <w:pPr>
        <w:pStyle w:val="SingleTxtG"/>
      </w:pPr>
      <w:r>
        <w:rPr>
          <w:lang w:val="es-ES_tradnl"/>
        </w:rPr>
        <w:tab/>
        <w:t>b)</w:t>
      </w:r>
      <w:r>
        <w:tab/>
      </w:r>
    </w:p>
    <w:p w:rsidR="00471D47" w:rsidRDefault="00E13A17">
      <w:pPr>
        <w:pStyle w:val="SingleTxtG"/>
      </w:pPr>
      <w:r>
        <w:t>4.</w:t>
      </w:r>
      <w:r>
        <w:tab/>
      </w:r>
      <w:r>
        <w:rPr>
          <w:lang w:val="es-ES_tradnl"/>
        </w:rPr>
        <w:t xml:space="preserve">El Comité acoge con beneplácito también </w:t>
      </w:r>
      <w:r>
        <w:rPr>
          <w:color w:val="FF0000"/>
          <w:lang w:val="es-ES_tradnl"/>
        </w:rPr>
        <w:t>[las siguientes medidas legislativas adoptadas por el Estado parte]</w:t>
      </w:r>
      <w:r>
        <w:rPr>
          <w:lang w:val="es-ES_tradnl"/>
        </w:rPr>
        <w:t xml:space="preserve"> </w:t>
      </w:r>
      <w:r>
        <w:rPr>
          <w:color w:val="FF0000"/>
          <w:lang w:val="es-ES_tradnl"/>
        </w:rPr>
        <w:t>[la adopción de las siguientes medidas legislativas por el Estado parte]</w:t>
      </w:r>
      <w:r>
        <w:rPr>
          <w:lang w:val="es-ES_tradnl"/>
        </w:rPr>
        <w:t xml:space="preserve"> </w:t>
      </w:r>
      <w:r>
        <w:rPr>
          <w:color w:val="FF0000"/>
          <w:lang w:val="es-ES_tradnl"/>
        </w:rPr>
        <w:t>[las iniciativas del Estado parte de revisión de su legislación]</w:t>
      </w:r>
      <w:r>
        <w:rPr>
          <w:lang w:val="es-ES_tradnl"/>
        </w:rPr>
        <w:t xml:space="preserve"> en esferas pertinentes para la Convención:</w:t>
      </w:r>
    </w:p>
    <w:p w:rsidR="00471D47" w:rsidRDefault="00E13A17">
      <w:pPr>
        <w:pStyle w:val="SingleTxtG"/>
      </w:pPr>
      <w:r>
        <w:rPr>
          <w:lang w:val="es-ES_tradnl"/>
        </w:rPr>
        <w:tab/>
        <w:t>a)</w:t>
      </w:r>
      <w:r>
        <w:tab/>
      </w:r>
      <w:r>
        <w:rPr>
          <w:color w:val="FF0000"/>
          <w:lang w:val="es-ES_tradnl"/>
        </w:rPr>
        <w:t>[…]</w:t>
      </w:r>
      <w:r>
        <w:rPr>
          <w:lang w:val="es-ES_tradnl"/>
        </w:rPr>
        <w:t>;</w:t>
      </w:r>
    </w:p>
    <w:p w:rsidR="00471D47" w:rsidRDefault="00E13A17">
      <w:pPr>
        <w:pStyle w:val="SingleTxtG"/>
      </w:pPr>
      <w:r>
        <w:rPr>
          <w:lang w:val="es-ES_tradnl"/>
        </w:rPr>
        <w:tab/>
        <w:t>b)</w:t>
      </w:r>
      <w:r>
        <w:tab/>
      </w:r>
    </w:p>
    <w:p w:rsidR="00471D47" w:rsidRDefault="00E13A17">
      <w:pPr>
        <w:pStyle w:val="H1G"/>
      </w:pPr>
      <w:r>
        <w:tab/>
        <w:t>C.</w:t>
      </w:r>
      <w:r>
        <w:tab/>
      </w:r>
      <w:r>
        <w:rPr>
          <w:lang w:val="es-ES_tradnl"/>
        </w:rPr>
        <w:t>Principales motivos de preocupación y recomendaciones</w:t>
      </w:r>
    </w:p>
    <w:p w:rsidR="00471D47" w:rsidRDefault="00E13A17">
      <w:pPr>
        <w:pStyle w:val="H23G"/>
      </w:pPr>
      <w:r>
        <w:tab/>
      </w:r>
      <w:r>
        <w:tab/>
      </w:r>
      <w:r>
        <w:rPr>
          <w:lang w:val="es-ES_tradnl"/>
        </w:rPr>
        <w:t>Cuestiones de seguimiento pendientes del anterior ciclo de presentación</w:t>
      </w:r>
      <w:r>
        <w:rPr>
          <w:lang w:val="es-ES_tradnl"/>
        </w:rPr>
        <w:br/>
        <w:t>de informes</w:t>
      </w:r>
    </w:p>
    <w:p w:rsidR="00471D47" w:rsidRDefault="00E13A17">
      <w:pPr>
        <w:pStyle w:val="SingleTxtG"/>
      </w:pPr>
      <w:r>
        <w:rPr>
          <w:color w:val="FF0000"/>
        </w:rPr>
        <w:t>[</w:t>
      </w:r>
      <w:r>
        <w:t>5.</w:t>
      </w:r>
      <w:r>
        <w:tab/>
      </w:r>
      <w:r>
        <w:rPr>
          <w:lang w:val="es-ES_tradnl"/>
        </w:rPr>
        <w:t>El Comité observa con pesar que el Estado parte no ha cumplido el procedimiento de seguimiento […].</w:t>
      </w:r>
      <w:r>
        <w:rPr>
          <w:color w:val="FF0000"/>
        </w:rPr>
        <w:t>]</w:t>
      </w:r>
    </w:p>
    <w:p w:rsidR="00471D47" w:rsidRDefault="00E13A17">
      <w:pPr>
        <w:pStyle w:val="SingleTxtG"/>
      </w:pPr>
      <w:r>
        <w:rPr>
          <w:color w:val="FF0000"/>
        </w:rPr>
        <w:t>[</w:t>
      </w:r>
      <w:r>
        <w:rPr>
          <w:bCs/>
        </w:rPr>
        <w:t>5.</w:t>
      </w:r>
      <w:r>
        <w:rPr>
          <w:bCs/>
        </w:rPr>
        <w:tab/>
      </w:r>
      <w:r>
        <w:rPr>
          <w:bCs/>
          <w:lang w:val="es-ES_tradnl"/>
        </w:rPr>
        <w:t>El Comité observa con aprecio que el Estado parte ha cumplido el procedimiento de seguimiento […].</w:t>
      </w:r>
      <w:r>
        <w:rPr>
          <w:color w:val="FF0000"/>
        </w:rPr>
        <w:t>]</w:t>
      </w:r>
    </w:p>
    <w:p w:rsidR="00471D47" w:rsidRDefault="00E13A17">
      <w:pPr>
        <w:pStyle w:val="SingleTxtG"/>
      </w:pPr>
      <w:r>
        <w:rPr>
          <w:color w:val="FF0000"/>
        </w:rPr>
        <w:t>[</w:t>
      </w:r>
      <w:r>
        <w:rPr>
          <w:bCs/>
        </w:rPr>
        <w:t>5.</w:t>
      </w:r>
      <w:r>
        <w:rPr>
          <w:bCs/>
        </w:rPr>
        <w:tab/>
      </w:r>
      <w:r>
        <w:rPr>
          <w:lang w:val="es-ES_tradnl"/>
        </w:rPr>
        <w:t>Si bien hace notar con aprecio la información proporcionada por el Estado parte en el marco del procedimiento de seguimiento, el Comité lamenta que […].</w:t>
      </w:r>
      <w:r>
        <w:rPr>
          <w:color w:val="FF0000"/>
        </w:rPr>
        <w:t>]</w:t>
      </w:r>
    </w:p>
    <w:p w:rsidR="00471D47" w:rsidRDefault="00E13A17">
      <w:pPr>
        <w:pStyle w:val="H23G"/>
      </w:pPr>
      <w:r>
        <w:lastRenderedPageBreak/>
        <w:tab/>
      </w:r>
      <w:r>
        <w:tab/>
      </w:r>
      <w:r>
        <w:rPr>
          <w:lang w:val="es-ES_tradnl"/>
        </w:rPr>
        <w:t>Definición de tortura</w:t>
      </w:r>
    </w:p>
    <w:p w:rsidR="00471D47" w:rsidRDefault="00E13A17">
      <w:pPr>
        <w:pStyle w:val="H23G"/>
      </w:pPr>
      <w:r>
        <w:tab/>
      </w:r>
      <w:r>
        <w:tab/>
      </w:r>
      <w:r>
        <w:rPr>
          <w:b w:val="0"/>
          <w:color w:val="FF0000"/>
        </w:rPr>
        <w:t>[</w:t>
      </w:r>
      <w:r>
        <w:rPr>
          <w:lang w:val="es-ES_tradnl"/>
        </w:rPr>
        <w:t>Reunión de datos</w:t>
      </w:r>
      <w:r>
        <w:t xml:space="preserve"> </w:t>
      </w:r>
    </w:p>
    <w:p w:rsidR="00471D47" w:rsidRDefault="00E13A17">
      <w:pPr>
        <w:pStyle w:val="SingleTxtG"/>
      </w:pPr>
      <w:r>
        <w:t>13.</w:t>
      </w:r>
      <w:r>
        <w:tab/>
      </w:r>
      <w:r>
        <w:rPr>
          <w:lang w:val="es-ES_tradnl"/>
        </w:rPr>
        <w:t>El Comité lamenta la falta de datos exhaustivos y desglosados sobre las denuncias, las investigaciones, los enjuiciamientos y las condenas correspondientes a casos de tortura y malos tratos por agentes de policía, personal de seguridad, miembros del ejército y funcionarios de prisiones.</w:t>
      </w:r>
    </w:p>
    <w:p w:rsidR="00471D47" w:rsidRDefault="00E13A17">
      <w:pPr>
        <w:pStyle w:val="SingleTxtG"/>
        <w:rPr>
          <w:b/>
          <w:bCs/>
        </w:rPr>
      </w:pPr>
      <w:r>
        <w:t>14.</w:t>
      </w:r>
      <w:r>
        <w:rPr>
          <w:b/>
          <w:bCs/>
        </w:rPr>
        <w:tab/>
      </w:r>
      <w:r>
        <w:rPr>
          <w:b/>
          <w:bCs/>
          <w:lang w:val="es-ES_tradnl"/>
        </w:rPr>
        <w:t>El Estado parte debe reunir datos estadísticos relativos a la vigilancia de la aplicación de la Convención en el plano nacional, incluidos datos sobre las denuncias, las investigaciones, los enjuiciamientos y las condenas correspondientes a casos de tortura y malos tratos, […] así como sobre los medios de reparación, en particular la indemnización y la rehabilitación, proporcionados a las víctimas.</w:t>
      </w:r>
      <w:r>
        <w:rPr>
          <w:bCs/>
          <w:color w:val="FF0000"/>
        </w:rPr>
        <w:t>]</w:t>
      </w:r>
    </w:p>
    <w:p w:rsidR="00471D47" w:rsidRDefault="00E13A17">
      <w:pPr>
        <w:pStyle w:val="H23G"/>
      </w:pPr>
      <w:r>
        <w:tab/>
      </w:r>
      <w:r>
        <w:tab/>
      </w:r>
      <w:r>
        <w:rPr>
          <w:lang w:val="es-ES_tradnl"/>
        </w:rPr>
        <w:t>Procedimiento de seguimiento</w:t>
      </w:r>
    </w:p>
    <w:p w:rsidR="00471D47" w:rsidRDefault="00E13A17">
      <w:pPr>
        <w:pStyle w:val="SingleTxtG"/>
      </w:pPr>
      <w:r>
        <w:t>15.</w:t>
      </w:r>
      <w:r>
        <w:tab/>
      </w:r>
      <w:r>
        <w:rPr>
          <w:b/>
          <w:bCs/>
          <w:lang w:val="es-ES_tradnl"/>
        </w:rPr>
        <w:t xml:space="preserve">El Comité solicita al Estado parte que proporcione, a más tardar el </w:t>
      </w:r>
      <w:r>
        <w:rPr>
          <w:b/>
          <w:bCs/>
          <w:color w:val="FF0000"/>
          <w:lang w:val="es-ES_tradnl"/>
        </w:rPr>
        <w:t>fecha</w:t>
      </w:r>
      <w:r>
        <w:rPr>
          <w:b/>
          <w:bCs/>
          <w:lang w:val="es-ES_tradnl"/>
        </w:rPr>
        <w:t xml:space="preserve">, información sobre el seguimiento dado a las recomendaciones del Comité sobre […] (véanse los </w:t>
      </w:r>
      <w:proofErr w:type="spellStart"/>
      <w:r>
        <w:rPr>
          <w:b/>
          <w:bCs/>
          <w:lang w:val="es-ES_tradnl"/>
        </w:rPr>
        <w:t>párrs</w:t>
      </w:r>
      <w:proofErr w:type="spellEnd"/>
      <w:r>
        <w:rPr>
          <w:b/>
          <w:bCs/>
          <w:lang w:val="es-ES_tradnl"/>
        </w:rPr>
        <w:t xml:space="preserve">. </w:t>
      </w:r>
      <w:r>
        <w:rPr>
          <w:b/>
          <w:bCs/>
          <w:color w:val="FF0000"/>
          <w:lang w:val="es-ES_tradnl"/>
        </w:rPr>
        <w:t>X</w:t>
      </w:r>
      <w:r>
        <w:rPr>
          <w:b/>
          <w:bCs/>
          <w:lang w:val="es-ES_tradnl"/>
        </w:rPr>
        <w:t xml:space="preserve">, </w:t>
      </w:r>
      <w:r>
        <w:rPr>
          <w:b/>
          <w:bCs/>
          <w:color w:val="FF0000"/>
          <w:lang w:val="es-ES_tradnl"/>
        </w:rPr>
        <w:t>X</w:t>
      </w:r>
      <w:r>
        <w:rPr>
          <w:b/>
          <w:bCs/>
          <w:lang w:val="es-ES_tradnl"/>
        </w:rPr>
        <w:t xml:space="preserve">, </w:t>
      </w:r>
      <w:r>
        <w:rPr>
          <w:b/>
          <w:bCs/>
          <w:color w:val="FF0000"/>
          <w:lang w:val="es-ES_tradnl"/>
        </w:rPr>
        <w:t>X</w:t>
      </w:r>
      <w:r>
        <w:rPr>
          <w:b/>
          <w:bCs/>
          <w:lang w:val="es-ES_tradnl"/>
        </w:rPr>
        <w:t xml:space="preserve"> y </w:t>
      </w:r>
      <w:r>
        <w:rPr>
          <w:b/>
          <w:bCs/>
          <w:color w:val="FF0000"/>
          <w:lang w:val="es-ES_tradnl"/>
        </w:rPr>
        <w:t>X</w:t>
      </w:r>
      <w:r>
        <w:rPr>
          <w:b/>
          <w:bCs/>
          <w:lang w:val="es-ES_tradnl"/>
        </w:rPr>
        <w:t>).</w:t>
      </w:r>
      <w:r>
        <w:rPr>
          <w:b/>
          <w:bCs/>
        </w:rPr>
        <w:t xml:space="preserve"> </w:t>
      </w:r>
      <w:r>
        <w:rPr>
          <w:b/>
          <w:bCs/>
          <w:lang w:val="es-ES_tradnl"/>
        </w:rPr>
        <w:t>En ese contexto, se invita al Estado parte a que informe al Comité sobre sus planes para aplicar, durante el período correspondiente al siguiente informe, algunas de las demás recomendaciones formuladas en las observaciones finales o todas ellas.</w:t>
      </w:r>
    </w:p>
    <w:p w:rsidR="00471D47" w:rsidRDefault="00E13A17">
      <w:pPr>
        <w:pStyle w:val="H23G"/>
      </w:pPr>
      <w:r>
        <w:tab/>
      </w:r>
      <w:r>
        <w:tab/>
      </w:r>
      <w:r>
        <w:rPr>
          <w:lang w:val="es-ES_tradnl"/>
        </w:rPr>
        <w:t>Otras cuestiones</w:t>
      </w:r>
    </w:p>
    <w:p w:rsidR="00471D47" w:rsidRDefault="00E13A17">
      <w:pPr>
        <w:pStyle w:val="SingleTxtG"/>
      </w:pPr>
      <w:r>
        <w:t>16.</w:t>
      </w:r>
      <w:r>
        <w:tab/>
      </w:r>
      <w:r>
        <w:rPr>
          <w:b/>
          <w:bCs/>
          <w:lang w:val="es-ES_tradnl"/>
        </w:rPr>
        <w:t xml:space="preserve">El Comité alienta al Estado parte a que considere la posibilidad de formular </w:t>
      </w:r>
      <w:r>
        <w:rPr>
          <w:b/>
          <w:bCs/>
          <w:color w:val="FF0000"/>
          <w:lang w:val="es-ES_tradnl"/>
        </w:rPr>
        <w:t>[la declaración prevista en el artículo 22]</w:t>
      </w:r>
      <w:r>
        <w:rPr>
          <w:b/>
          <w:bCs/>
          <w:lang w:val="es-ES_tradnl"/>
        </w:rPr>
        <w:t xml:space="preserve"> </w:t>
      </w:r>
      <w:r>
        <w:rPr>
          <w:b/>
          <w:bCs/>
          <w:color w:val="FF0000"/>
          <w:lang w:val="es-ES_tradnl"/>
        </w:rPr>
        <w:t>[las declaraciones previstas en los artículos 21 y 22]</w:t>
      </w:r>
      <w:r>
        <w:rPr>
          <w:b/>
          <w:bCs/>
          <w:lang w:val="es-ES_tradnl"/>
        </w:rPr>
        <w:t xml:space="preserve"> de la Convención </w:t>
      </w:r>
      <w:r>
        <w:rPr>
          <w:b/>
          <w:bCs/>
          <w:color w:val="FF0000"/>
          <w:lang w:val="es-ES_tradnl"/>
        </w:rPr>
        <w:t>[</w:t>
      </w:r>
      <w:r>
        <w:rPr>
          <w:b/>
          <w:bCs/>
          <w:lang w:val="es-ES_tradnl"/>
        </w:rPr>
        <w:t>a fin de reconocer la competencia del Comité para recibir y examinar comunicaciones de personas sometidas a su jurisdicción</w:t>
      </w:r>
      <w:r>
        <w:rPr>
          <w:b/>
          <w:bCs/>
          <w:color w:val="FF0000"/>
          <w:lang w:val="es-ES_tradnl"/>
        </w:rPr>
        <w:t>]</w:t>
      </w:r>
      <w:r>
        <w:rPr>
          <w:b/>
          <w:bCs/>
          <w:lang w:val="es-ES_tradnl"/>
        </w:rPr>
        <w:t>.</w:t>
      </w:r>
    </w:p>
    <w:p w:rsidR="00471D47" w:rsidRDefault="00E13A17">
      <w:pPr>
        <w:pStyle w:val="SingleTxtG"/>
        <w:rPr>
          <w:b/>
          <w:bCs/>
        </w:rPr>
      </w:pPr>
      <w:r>
        <w:t>17.</w:t>
      </w:r>
      <w:r>
        <w:tab/>
      </w:r>
      <w:r>
        <w:rPr>
          <w:b/>
          <w:bCs/>
          <w:lang w:val="es-ES_tradnl"/>
        </w:rPr>
        <w:t xml:space="preserve">El Comité invita al Estado parte </w:t>
      </w:r>
      <w:r>
        <w:rPr>
          <w:b/>
          <w:bCs/>
          <w:color w:val="FF0000"/>
          <w:lang w:val="es-ES_tradnl"/>
        </w:rPr>
        <w:t>[a que considere la posibilidad de ratificar]</w:t>
      </w:r>
      <w:r>
        <w:rPr>
          <w:b/>
          <w:bCs/>
          <w:lang w:val="es-ES_tradnl"/>
        </w:rPr>
        <w:t xml:space="preserve"> </w:t>
      </w:r>
      <w:r>
        <w:rPr>
          <w:b/>
          <w:bCs/>
          <w:color w:val="FF0000"/>
          <w:lang w:val="es-ES_tradnl"/>
        </w:rPr>
        <w:t>[a que ratifique]</w:t>
      </w:r>
      <w:r>
        <w:rPr>
          <w:b/>
          <w:bCs/>
          <w:lang w:val="es-ES_tradnl"/>
        </w:rPr>
        <w:t xml:space="preserve"> los tratados básicos de derechos humanos de las Naciones Unidas en los que aún no es parte</w:t>
      </w:r>
      <w:r>
        <w:rPr>
          <w:b/>
          <w:bCs/>
          <w:color w:val="FF0000"/>
          <w:lang w:val="es-ES_tradnl"/>
        </w:rPr>
        <w:t>[</w:t>
      </w:r>
      <w:r>
        <w:rPr>
          <w:b/>
          <w:bCs/>
          <w:lang w:val="es-ES_tradnl"/>
        </w:rPr>
        <w:t>, a saber, […]</w:t>
      </w:r>
      <w:r>
        <w:rPr>
          <w:b/>
          <w:bCs/>
          <w:color w:val="FF0000"/>
          <w:lang w:val="es-ES_tradnl"/>
        </w:rPr>
        <w:t>]</w:t>
      </w:r>
      <w:r>
        <w:rPr>
          <w:b/>
          <w:bCs/>
          <w:lang w:val="es-ES_tradnl"/>
        </w:rPr>
        <w:t>.</w:t>
      </w:r>
    </w:p>
    <w:p w:rsidR="00471D47" w:rsidRDefault="00E13A17">
      <w:pPr>
        <w:pStyle w:val="SingleTxtG"/>
      </w:pPr>
      <w:r>
        <w:t>18.</w:t>
      </w:r>
      <w:r>
        <w:tab/>
      </w:r>
      <w:r>
        <w:rPr>
          <w:b/>
          <w:bCs/>
          <w:lang w:val="es-ES_tradnl"/>
        </w:rPr>
        <w:t>Se solicita al Estado parte que dé amplia difusión al informe presentado al Comité y estas observaciones finales, en los idiomas pertinentes, a través de los sitios web oficiales, los medios de difusión y las organizaciones no gubernamentales.</w:t>
      </w:r>
    </w:p>
    <w:p w:rsidR="00471D47" w:rsidRDefault="00E13A17">
      <w:pPr>
        <w:pStyle w:val="SingleTxtG"/>
      </w:pPr>
      <w:r>
        <w:rPr>
          <w:color w:val="FF0000"/>
        </w:rPr>
        <w:t>[</w:t>
      </w:r>
      <w:r>
        <w:t>19.</w:t>
      </w:r>
      <w:r>
        <w:tab/>
      </w:r>
      <w:r>
        <w:rPr>
          <w:b/>
          <w:bCs/>
          <w:lang w:val="es-ES_tradnl"/>
        </w:rPr>
        <w:t xml:space="preserve">Se invita al Estado parte a que presente su </w:t>
      </w:r>
      <w:r>
        <w:rPr>
          <w:b/>
          <w:bCs/>
          <w:color w:val="FF0000"/>
          <w:lang w:val="es-ES_tradnl"/>
        </w:rPr>
        <w:t>número</w:t>
      </w:r>
      <w:r>
        <w:rPr>
          <w:b/>
          <w:bCs/>
          <w:lang w:val="es-ES_tradnl"/>
        </w:rPr>
        <w:t xml:space="preserve"> informe periódico a más tardar el </w:t>
      </w:r>
      <w:r>
        <w:rPr>
          <w:b/>
          <w:bCs/>
          <w:color w:val="FF0000"/>
          <w:lang w:val="es-ES_tradnl"/>
        </w:rPr>
        <w:t>fecha</w:t>
      </w:r>
      <w:r>
        <w:rPr>
          <w:b/>
          <w:bCs/>
          <w:lang w:val="es-ES_tradnl"/>
        </w:rPr>
        <w:t>.</w:t>
      </w:r>
      <w:r>
        <w:rPr>
          <w:b/>
          <w:bCs/>
        </w:rPr>
        <w:t xml:space="preserve"> </w:t>
      </w:r>
      <w:r>
        <w:rPr>
          <w:b/>
          <w:bCs/>
          <w:color w:val="FF0000"/>
          <w:lang w:val="es-ES_tradnl"/>
        </w:rPr>
        <w:t>[Con ese fin]</w:t>
      </w:r>
      <w:r>
        <w:rPr>
          <w:b/>
          <w:bCs/>
          <w:lang w:val="es-ES_tradnl"/>
        </w:rPr>
        <w:t xml:space="preserve"> </w:t>
      </w:r>
      <w:r>
        <w:rPr>
          <w:b/>
          <w:bCs/>
          <w:color w:val="FF0000"/>
          <w:lang w:val="es-ES_tradnl"/>
        </w:rPr>
        <w:t>[Con ese propósito]</w:t>
      </w:r>
      <w:r>
        <w:rPr>
          <w:b/>
          <w:bCs/>
          <w:lang w:val="es-ES_tradnl"/>
        </w:rPr>
        <w:t xml:space="preserve">, y </w:t>
      </w:r>
      <w:r>
        <w:rPr>
          <w:b/>
          <w:bCs/>
          <w:color w:val="FF0000"/>
          <w:lang w:val="es-ES_tradnl"/>
        </w:rPr>
        <w:t>[habida cuenta del hecho de]</w:t>
      </w:r>
      <w:r>
        <w:rPr>
          <w:b/>
          <w:bCs/>
          <w:lang w:val="es-ES_tradnl"/>
        </w:rPr>
        <w:t xml:space="preserve"> </w:t>
      </w:r>
      <w:r>
        <w:rPr>
          <w:b/>
          <w:bCs/>
          <w:color w:val="FF0000"/>
          <w:lang w:val="es-ES_tradnl"/>
        </w:rPr>
        <w:t>[considerando]</w:t>
      </w:r>
      <w:r>
        <w:rPr>
          <w:b/>
          <w:bCs/>
          <w:lang w:val="es-ES_tradnl"/>
        </w:rPr>
        <w:t xml:space="preserve"> que el Estado parte ha convenido en presentar su informe al Comité con arreglo al procedimiento simplificado, el Comité transmitirá oportunamente al Estado parte una lista de cuestiones previa a la presentación.</w:t>
      </w:r>
      <w:r>
        <w:rPr>
          <w:b/>
          <w:bCs/>
        </w:rPr>
        <w:t xml:space="preserve"> </w:t>
      </w:r>
      <w:r>
        <w:rPr>
          <w:b/>
          <w:bCs/>
          <w:lang w:val="es-ES_tradnl"/>
        </w:rPr>
        <w:t>Se invita al Estado parte también a que presente su documento básico común de conformidad con los requisitos enunciados en las directrices armonizadas para la presentación de informes a los órganos creados en virtud de tratados internacionales de derechos humanos (</w:t>
      </w:r>
      <w:proofErr w:type="spellStart"/>
      <w:r>
        <w:rPr>
          <w:b/>
          <w:bCs/>
          <w:lang w:val="es-ES_tradnl"/>
        </w:rPr>
        <w:t>HRI</w:t>
      </w:r>
      <w:proofErr w:type="spellEnd"/>
      <w:r>
        <w:rPr>
          <w:b/>
          <w:bCs/>
          <w:lang w:val="es-ES_tradnl"/>
        </w:rPr>
        <w:t>/</w:t>
      </w:r>
      <w:proofErr w:type="spellStart"/>
      <w:r>
        <w:rPr>
          <w:b/>
          <w:bCs/>
          <w:lang w:val="es-ES_tradnl"/>
        </w:rPr>
        <w:t>GEN.2</w:t>
      </w:r>
      <w:proofErr w:type="spellEnd"/>
      <w:r>
        <w:rPr>
          <w:b/>
          <w:bCs/>
          <w:lang w:val="es-ES_tradnl"/>
        </w:rPr>
        <w:t>/</w:t>
      </w:r>
      <w:proofErr w:type="spellStart"/>
      <w:r>
        <w:rPr>
          <w:b/>
          <w:bCs/>
          <w:lang w:val="es-ES_tradnl"/>
        </w:rPr>
        <w:t>Rev.6</w:t>
      </w:r>
      <w:proofErr w:type="spellEnd"/>
      <w:r>
        <w:rPr>
          <w:b/>
          <w:bCs/>
          <w:lang w:val="es-ES_tradnl"/>
        </w:rPr>
        <w:t>).</w:t>
      </w:r>
      <w:r>
        <w:rPr>
          <w:color w:val="FF0000"/>
        </w:rPr>
        <w:t>]</w:t>
      </w:r>
    </w:p>
    <w:p w:rsidR="00471D47" w:rsidRDefault="00E13A17">
      <w:pPr>
        <w:pStyle w:val="SingleTxtG"/>
        <w:rPr>
          <w:b/>
          <w:bCs/>
        </w:rPr>
      </w:pPr>
      <w:r>
        <w:rPr>
          <w:color w:val="FF0000"/>
        </w:rPr>
        <w:t>[</w:t>
      </w:r>
      <w:r>
        <w:t>19.</w:t>
      </w:r>
      <w:r>
        <w:tab/>
      </w:r>
      <w:r>
        <w:rPr>
          <w:b/>
          <w:bCs/>
          <w:lang w:val="es-ES_tradnl"/>
        </w:rPr>
        <w:t xml:space="preserve">El Comité solicita al Estado parte que presente su próximo informe periódico, que será el </w:t>
      </w:r>
      <w:r>
        <w:rPr>
          <w:b/>
          <w:bCs/>
          <w:color w:val="FF0000"/>
          <w:lang w:val="es-ES_tradnl"/>
        </w:rPr>
        <w:t>número</w:t>
      </w:r>
      <w:r>
        <w:rPr>
          <w:b/>
          <w:bCs/>
          <w:lang w:val="es-ES_tradnl"/>
        </w:rPr>
        <w:t xml:space="preserve">, a más tardar el </w:t>
      </w:r>
      <w:r>
        <w:rPr>
          <w:b/>
          <w:bCs/>
          <w:color w:val="FF0000"/>
          <w:lang w:val="es-ES_tradnl"/>
        </w:rPr>
        <w:t>fecha</w:t>
      </w:r>
      <w:r>
        <w:rPr>
          <w:b/>
          <w:bCs/>
          <w:lang w:val="es-ES_tradnl"/>
        </w:rPr>
        <w:t>.</w:t>
      </w:r>
      <w:r>
        <w:rPr>
          <w:b/>
          <w:bCs/>
        </w:rPr>
        <w:t xml:space="preserve"> </w:t>
      </w:r>
      <w:r>
        <w:rPr>
          <w:b/>
          <w:bCs/>
          <w:lang w:val="es-ES_tradnl"/>
        </w:rPr>
        <w:t>Con ese propósito, y habida cuenta del hecho de que el Estado parte ha convenido en presentar su informe al Comité con arreglo al procedimiento simplificado, el Comité transmitirá oportunamente al Estado parte una lista de cuestiones previa a la presentación.</w:t>
      </w:r>
      <w:r>
        <w:rPr>
          <w:b/>
          <w:bCs/>
        </w:rPr>
        <w:t xml:space="preserve"> </w:t>
      </w:r>
      <w:r>
        <w:rPr>
          <w:b/>
          <w:bCs/>
          <w:lang w:val="es-ES_tradnl"/>
        </w:rPr>
        <w:t xml:space="preserve">Las respuestas del Estado parte a esa lista de cuestiones constituirán su </w:t>
      </w:r>
      <w:r>
        <w:rPr>
          <w:b/>
          <w:bCs/>
          <w:color w:val="FF0000"/>
          <w:lang w:val="es-ES_tradnl"/>
        </w:rPr>
        <w:t>número</w:t>
      </w:r>
      <w:r>
        <w:rPr>
          <w:b/>
          <w:bCs/>
          <w:lang w:val="es-ES_tradnl"/>
        </w:rPr>
        <w:t xml:space="preserve"> informe periódico en virtud del artículo 19 de la Convención</w:t>
      </w:r>
      <w:r>
        <w:rPr>
          <w:b/>
          <w:lang w:val="es-ES_tradnl"/>
        </w:rPr>
        <w:t>.</w:t>
      </w:r>
      <w:r>
        <w:rPr>
          <w:bCs/>
          <w:color w:val="FF0000"/>
        </w:rPr>
        <w:t>]</w:t>
      </w:r>
    </w:p>
    <w:p w:rsidR="00471D47" w:rsidRDefault="00E13A17">
      <w:pPr>
        <w:pStyle w:val="SingleTxtG"/>
        <w:rPr>
          <w:b/>
        </w:rPr>
      </w:pPr>
      <w:r>
        <w:rPr>
          <w:color w:val="FF0000"/>
        </w:rPr>
        <w:t>[</w:t>
      </w:r>
      <w:r>
        <w:t>19.</w:t>
      </w:r>
      <w:r>
        <w:tab/>
      </w:r>
      <w:r>
        <w:rPr>
          <w:b/>
          <w:lang w:val="es-ES_tradnl"/>
        </w:rPr>
        <w:t xml:space="preserve">El Comité solicita al Estado parte que presente su próximo informe periódico, que será el </w:t>
      </w:r>
      <w:r>
        <w:rPr>
          <w:b/>
          <w:color w:val="FF0000"/>
          <w:lang w:val="es-ES_tradnl"/>
        </w:rPr>
        <w:t>número</w:t>
      </w:r>
      <w:r>
        <w:rPr>
          <w:b/>
          <w:lang w:val="es-ES_tradnl"/>
        </w:rPr>
        <w:t xml:space="preserve">, a más tardar el </w:t>
      </w:r>
      <w:r>
        <w:rPr>
          <w:b/>
          <w:color w:val="FF0000"/>
          <w:lang w:val="es-ES_tradnl"/>
        </w:rPr>
        <w:t>fecha</w:t>
      </w:r>
      <w:r>
        <w:rPr>
          <w:b/>
          <w:lang w:val="es-ES_tradnl"/>
        </w:rPr>
        <w:t>.</w:t>
      </w:r>
      <w:r>
        <w:rPr>
          <w:b/>
        </w:rPr>
        <w:t xml:space="preserve"> </w:t>
      </w:r>
      <w:r>
        <w:rPr>
          <w:b/>
          <w:lang w:val="es-ES_tradnl"/>
        </w:rPr>
        <w:t xml:space="preserve">Con ese propósito, el Comité invita al Estado parte a que acepte, a más tardar el </w:t>
      </w:r>
      <w:r>
        <w:rPr>
          <w:b/>
          <w:color w:val="FF0000"/>
          <w:lang w:val="es-ES_tradnl"/>
        </w:rPr>
        <w:t>fecha</w:t>
      </w:r>
      <w:r>
        <w:rPr>
          <w:b/>
          <w:lang w:val="es-ES_tradnl"/>
        </w:rPr>
        <w:t>, el procedimiento simplificado de presentación de informes, que consiste en la transmisión por el Comité al Estado parte de una lista de cuestiones previa a la presentación del informe.</w:t>
      </w:r>
      <w:r>
        <w:rPr>
          <w:b/>
        </w:rPr>
        <w:t xml:space="preserve"> </w:t>
      </w:r>
      <w:r>
        <w:rPr>
          <w:b/>
          <w:lang w:val="es-ES_tradnl"/>
        </w:rPr>
        <w:t xml:space="preserve">Las respuestas del Estado parte a esa lista de cuestiones constituirán su </w:t>
      </w:r>
      <w:r>
        <w:rPr>
          <w:b/>
          <w:color w:val="FF0000"/>
          <w:lang w:val="es-ES_tradnl"/>
        </w:rPr>
        <w:t>número</w:t>
      </w:r>
      <w:r>
        <w:rPr>
          <w:b/>
          <w:lang w:val="es-ES_tradnl"/>
        </w:rPr>
        <w:t xml:space="preserve"> informe periódico en virtud del artículo 19 de la Convención.</w:t>
      </w:r>
      <w:r>
        <w:rPr>
          <w:bCs/>
          <w:color w:val="FF0000"/>
        </w:rPr>
        <w:t>]</w:t>
      </w:r>
    </w:p>
    <w:sectPr w:rsidR="00471D47">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D47" w:rsidRDefault="00E13A17">
      <w:r>
        <w:separator/>
      </w:r>
    </w:p>
  </w:endnote>
  <w:endnote w:type="continuationSeparator" w:id="0">
    <w:p w:rsidR="00471D47" w:rsidRDefault="00E13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D47" w:rsidRDefault="00E13A17">
    <w:pPr>
      <w:pStyle w:val="Footer"/>
      <w:tabs>
        <w:tab w:val="right" w:pos="9639"/>
      </w:tabs>
      <w:suppressAutoHyphens/>
      <w:kinsoku w:val="0"/>
      <w:overflowPunct w:val="0"/>
      <w:autoSpaceDE w:val="0"/>
      <w:autoSpaceDN w:val="0"/>
      <w:adjustRightInd w:val="0"/>
      <w:snapToGrid w:val="0"/>
      <w:spacing w:line="240" w:lineRule="auto"/>
    </w:pPr>
    <w:r>
      <w:rPr>
        <w:rFonts w:eastAsiaTheme="minorHAnsi"/>
        <w:b/>
        <w:noProof/>
        <w:sz w:val="18"/>
        <w:lang w:val="fr-CH" w:eastAsia="en-US"/>
      </w:rPr>
      <w:fldChar w:fldCharType="begin"/>
    </w:r>
    <w:r>
      <w:rPr>
        <w:rFonts w:eastAsiaTheme="minorHAnsi"/>
        <w:b/>
        <w:noProof/>
        <w:sz w:val="18"/>
        <w:lang w:val="fr-CH" w:eastAsia="en-US"/>
      </w:rPr>
      <w:instrText xml:space="preserve"> PAGE  \* MERGEFORMAT </w:instrText>
    </w:r>
    <w:r>
      <w:rPr>
        <w:rFonts w:eastAsiaTheme="minorHAnsi"/>
        <w:b/>
        <w:noProof/>
        <w:sz w:val="18"/>
        <w:lang w:val="fr-CH" w:eastAsia="en-US"/>
      </w:rPr>
      <w:fldChar w:fldCharType="separate"/>
    </w:r>
    <w:r w:rsidR="008A55CF">
      <w:rPr>
        <w:rFonts w:eastAsiaTheme="minorHAnsi"/>
        <w:b/>
        <w:noProof/>
        <w:sz w:val="18"/>
        <w:lang w:val="fr-CH" w:eastAsia="en-US"/>
      </w:rPr>
      <w:t>2</w:t>
    </w:r>
    <w:r>
      <w:rPr>
        <w:rFonts w:eastAsiaTheme="minorHAnsi"/>
        <w:b/>
        <w:noProof/>
        <w:sz w:val="18"/>
        <w:lang w:val="fr-CH" w:eastAsia="en-US"/>
      </w:rPr>
      <w:fldChar w:fldCharType="end"/>
    </w:r>
    <w:r>
      <w:tab/>
    </w:r>
    <w:r>
      <w:fldChar w:fldCharType="begin"/>
    </w:r>
    <w:r>
      <w:instrText xml:space="preserve"> DOCPROPERTY  gdocf  \* MERGEFORMAT </w:instrText>
    </w:r>
    <w:r>
      <w:fldChar w:fldCharType="separate"/>
    </w:r>
    <w:proofErr w:type="spellStart"/>
    <w:r>
      <w:t>gdocf</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D47" w:rsidRDefault="00E13A17">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t>gdocf</w:t>
    </w:r>
    <w:proofErr w:type="spellEnd"/>
    <w:r>
      <w:fldChar w:fldCharType="end"/>
    </w:r>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D47" w:rsidRDefault="00E13A17">
    <w:pPr>
      <w:pStyle w:val="Footer"/>
      <w:rPr>
        <w:noProof/>
        <w:sz w:val="20"/>
        <w:lang w:val="fr-FR" w:eastAsia="fr-FR"/>
      </w:rPr>
    </w:pPr>
    <w:proofErr w:type="spellStart"/>
    <w:r>
      <w:rPr>
        <w:sz w:val="20"/>
      </w:rPr>
      <w:t>GE.</w:t>
    </w:r>
    <w:r>
      <w:rPr>
        <w:sz w:val="20"/>
      </w:rPr>
      <w:fldChar w:fldCharType="begin"/>
    </w:r>
    <w:r>
      <w:rPr>
        <w:sz w:val="20"/>
      </w:rPr>
      <w:instrText xml:space="preserve"> DOCPROPERTY  gdoc  \* MERGEFORMAT </w:instrText>
    </w:r>
    <w:r>
      <w:rPr>
        <w:sz w:val="20"/>
      </w:rPr>
      <w:fldChar w:fldCharType="separate"/>
    </w:r>
    <w:r>
      <w:rPr>
        <w:sz w:val="20"/>
      </w:rPr>
      <w:t>gdoc</w:t>
    </w:r>
    <w:proofErr w:type="spellEnd"/>
    <w:r>
      <w:rPr>
        <w:sz w:val="20"/>
      </w:rPr>
      <w:fldChar w:fldCharType="end"/>
    </w:r>
    <w:r>
      <w:rPr>
        <w:noProof/>
        <w:sz w:val="20"/>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471D47">
      <w:tc>
        <w:tcPr>
          <w:tcW w:w="1848" w:type="dxa"/>
          <w:vAlign w:val="bottom"/>
          <w:hideMark/>
        </w:tcPr>
        <w:p w:rsidR="00471D47" w:rsidRDefault="00E13A17">
          <w:pPr>
            <w:kinsoku w:val="0"/>
            <w:overflowPunct w:val="0"/>
            <w:autoSpaceDE w:val="0"/>
            <w:autoSpaceDN w:val="0"/>
            <w:adjustRightInd w:val="0"/>
            <w:snapToGrid w:val="0"/>
            <w:spacing w:before="120" w:after="120" w:line="240" w:lineRule="auto"/>
            <w:jc w:val="right"/>
            <w:rPr>
              <w:sz w:val="16"/>
              <w:lang w:val="fr-CH"/>
            </w:rPr>
          </w:pPr>
          <w:r>
            <w:rPr>
              <w:noProof/>
              <w:sz w:val="16"/>
              <w:lang w:val="fr-CH" w:eastAsia="zh-CN"/>
            </w:rPr>
            <w:drawing>
              <wp:inline distT="0" distB="0" distL="0" distR="0">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471D47" w:rsidRDefault="00471D47">
          <w:pPr>
            <w:kinsoku w:val="0"/>
            <w:overflowPunct w:val="0"/>
            <w:autoSpaceDE w:val="0"/>
            <w:autoSpaceDN w:val="0"/>
            <w:adjustRightInd w:val="0"/>
            <w:snapToGrid w:val="0"/>
            <w:spacing w:line="240" w:lineRule="auto"/>
            <w:jc w:val="right"/>
            <w:rPr>
              <w:sz w:val="16"/>
              <w:lang w:val="fr-CH"/>
            </w:rPr>
          </w:pPr>
        </w:p>
      </w:tc>
    </w:tr>
  </w:tbl>
  <w:p w:rsidR="00471D47" w:rsidRDefault="00E13A17">
    <w:pPr>
      <w:pStyle w:val="Footer"/>
    </w:pPr>
    <w:r>
      <w:rPr>
        <w:rFonts w:ascii="C39T30Lfz" w:hAnsi="C39T30Lfz"/>
        <w:noProof/>
        <w:sz w:val="56"/>
        <w:szCs w:val="56"/>
        <w:lang w:val="fr-FR" w:eastAsia="fr-FR"/>
      </w:rPr>
      <w:fldChar w:fldCharType="begin"/>
    </w:r>
    <w:r>
      <w:rPr>
        <w:rFonts w:ascii="C39T30Lfz" w:hAnsi="C39T30Lfz"/>
        <w:noProof/>
        <w:sz w:val="56"/>
        <w:szCs w:val="56"/>
        <w:lang w:val="fr-FR" w:eastAsia="fr-FR"/>
      </w:rPr>
      <w:instrText xml:space="preserve"> DOCPROPERTY  bar  \* MERGEFORMAT </w:instrText>
    </w:r>
    <w:r>
      <w:rPr>
        <w:rFonts w:ascii="C39T30Lfz" w:hAnsi="C39T30Lfz"/>
        <w:noProof/>
        <w:sz w:val="56"/>
        <w:szCs w:val="56"/>
        <w:lang w:val="fr-FR" w:eastAsia="fr-FR"/>
      </w:rPr>
      <w:fldChar w:fldCharType="separate"/>
    </w:r>
    <w:r>
      <w:rPr>
        <w:rFonts w:ascii="C39T30Lfz" w:hAnsi="C39T30Lfz"/>
        <w:noProof/>
        <w:sz w:val="56"/>
        <w:szCs w:val="56"/>
        <w:lang w:val="fr-FR" w:eastAsia="fr-FR"/>
      </w:rPr>
      <w:t>*0123456789</w:t>
    </w:r>
    <w:r>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D47" w:rsidRDefault="00E13A17">
      <w:pPr>
        <w:tabs>
          <w:tab w:val="right" w:pos="2155"/>
        </w:tabs>
        <w:spacing w:after="80" w:line="240" w:lineRule="auto"/>
        <w:ind w:left="680"/>
        <w:rPr>
          <w:u w:val="single"/>
        </w:rPr>
      </w:pPr>
      <w:r>
        <w:rPr>
          <w:u w:val="single"/>
        </w:rPr>
        <w:tab/>
      </w:r>
    </w:p>
  </w:footnote>
  <w:footnote w:type="continuationSeparator" w:id="0">
    <w:p w:rsidR="00471D47" w:rsidRDefault="00E13A17">
      <w:pPr>
        <w:tabs>
          <w:tab w:val="right" w:pos="2155"/>
        </w:tabs>
        <w:spacing w:after="80"/>
        <w:ind w:left="680"/>
        <w:rPr>
          <w:u w:val="single"/>
        </w:rPr>
      </w:pPr>
      <w:r>
        <w:rPr>
          <w:u w:val="single"/>
        </w:rPr>
        <w:tab/>
      </w:r>
    </w:p>
  </w:footnote>
  <w:footnote w:id="1">
    <w:p w:rsidR="00471D47" w:rsidRDefault="00E13A17">
      <w:pPr>
        <w:pStyle w:val="FootnoteText"/>
        <w:rPr>
          <w:sz w:val="20"/>
        </w:rPr>
      </w:pPr>
      <w:r>
        <w:tab/>
      </w:r>
      <w:r>
        <w:rPr>
          <w:rStyle w:val="FootnoteReference"/>
          <w:sz w:val="20"/>
          <w:vertAlign w:val="baseline"/>
        </w:rPr>
        <w:t>*</w:t>
      </w:r>
      <w:r>
        <w:rPr>
          <w:rStyle w:val="FootnoteReference"/>
          <w:vertAlign w:val="baseline"/>
        </w:rPr>
        <w:tab/>
      </w:r>
      <w:r>
        <w:rPr>
          <w:lang w:val="es-ES_tradnl"/>
        </w:rPr>
        <w:t xml:space="preserve">Aprobadas por el Comité en su </w:t>
      </w:r>
      <w:r>
        <w:rPr>
          <w:color w:val="FF0000"/>
          <w:lang w:val="es-ES_tradnl"/>
        </w:rPr>
        <w:t>número</w:t>
      </w:r>
      <w:r>
        <w:rPr>
          <w:lang w:val="es-ES_tradnl"/>
        </w:rPr>
        <w:t xml:space="preserve"> período de sesiones (</w:t>
      </w:r>
      <w:r>
        <w:rPr>
          <w:color w:val="FF0000"/>
          <w:lang w:val="es-ES_tradnl"/>
        </w:rPr>
        <w:t>fechas</w:t>
      </w:r>
      <w:r>
        <w:rPr>
          <w:lang w:val="es-ES_tradn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D47" w:rsidRDefault="00E13A17">
    <w:pPr>
      <w:pStyle w:val="Header"/>
    </w:pPr>
    <w:r>
      <w:fldChar w:fldCharType="begin"/>
    </w:r>
    <w:r>
      <w:instrText xml:space="preserve"> DOCPROPERTY  symh  \* MERGEFORMAT </w:instrText>
    </w:r>
    <w:r>
      <w:fldChar w:fldCharType="separate"/>
    </w:r>
    <w:proofErr w:type="spellStart"/>
    <w:r>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D47" w:rsidRDefault="00E13A17">
    <w:pPr>
      <w:pStyle w:val="Header"/>
      <w:jc w:val="right"/>
      <w:rPr>
        <w:u w:val="double"/>
      </w:rPr>
    </w:pPr>
    <w:r>
      <w:fldChar w:fldCharType="begin"/>
    </w:r>
    <w:r>
      <w:instrText xml:space="preserve"> DOCPROPERTY  symh  \* MERGEFORMAT </w:instrText>
    </w:r>
    <w:r>
      <w:fldChar w:fldCharType="separate"/>
    </w:r>
    <w:proofErr w:type="spellStart"/>
    <w:r>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D47" w:rsidRDefault="00471D47">
    <w:pPr>
      <w:pStyle w:val="Header"/>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1985"/>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D47"/>
    <w:rsid w:val="00471D47"/>
    <w:rsid w:val="008A55CF"/>
    <w:rsid w:val="00E13A17"/>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15:docId w15:val="{A2F952B5-A9A2-474D-A9C6-BF76C277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atLeast"/>
    </w:pPr>
    <w:rPr>
      <w:lang w:val="es-ES" w:eastAsia="es-ES"/>
    </w:rPr>
  </w:style>
  <w:style w:type="paragraph" w:styleId="Heading1">
    <w:name w:val="heading 1"/>
    <w:aliases w:val="Cuadro_G"/>
    <w:basedOn w:val="SingleTxtG"/>
    <w:next w:val="SingleTxtG"/>
    <w:link w:val="Heading1Char"/>
    <w:qFormat/>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pPr>
      <w:keepNext/>
      <w:outlineLvl w:val="1"/>
    </w:pPr>
    <w:rPr>
      <w:rFonts w:cs="Arial"/>
      <w:bCs/>
      <w:iCs/>
      <w:szCs w:val="28"/>
    </w:rPr>
  </w:style>
  <w:style w:type="paragraph" w:styleId="Heading3">
    <w:name w:val="heading 3"/>
    <w:basedOn w:val="Normal"/>
    <w:next w:val="Normal"/>
    <w:semiHidden/>
    <w:pPr>
      <w:keepNext/>
      <w:spacing w:before="240" w:after="60"/>
      <w:outlineLvl w:val="2"/>
    </w:pPr>
    <w:rPr>
      <w:rFonts w:ascii="Arial" w:hAnsi="Arial" w:cs="Arial"/>
      <w:b/>
      <w:bCs/>
      <w:sz w:val="26"/>
      <w:szCs w:val="26"/>
    </w:rPr>
  </w:style>
  <w:style w:type="paragraph" w:styleId="Heading4">
    <w:name w:val="heading 4"/>
    <w:basedOn w:val="Normal"/>
    <w:next w:val="Normal"/>
    <w:semiHidden/>
    <w:pPr>
      <w:keepNext/>
      <w:spacing w:before="240" w:after="60"/>
      <w:outlineLvl w:val="3"/>
    </w:pPr>
    <w:rPr>
      <w:b/>
      <w:bCs/>
      <w:sz w:val="28"/>
      <w:szCs w:val="28"/>
    </w:rPr>
  </w:style>
  <w:style w:type="paragraph" w:styleId="Heading5">
    <w:name w:val="heading 5"/>
    <w:basedOn w:val="Normal"/>
    <w:next w:val="Normal"/>
    <w:semiHidden/>
    <w:pPr>
      <w:spacing w:before="240" w:after="60"/>
      <w:outlineLvl w:val="4"/>
    </w:pPr>
    <w:rPr>
      <w:b/>
      <w:bCs/>
      <w:i/>
      <w:iCs/>
      <w:sz w:val="26"/>
      <w:szCs w:val="26"/>
    </w:rPr>
  </w:style>
  <w:style w:type="paragraph" w:styleId="Heading6">
    <w:name w:val="heading 6"/>
    <w:basedOn w:val="Normal"/>
    <w:next w:val="Normal"/>
    <w:semiHidden/>
    <w:pPr>
      <w:spacing w:before="240" w:after="60"/>
      <w:outlineLvl w:val="5"/>
    </w:pPr>
    <w:rPr>
      <w:b/>
      <w:bCs/>
      <w:sz w:val="22"/>
      <w:szCs w:val="22"/>
    </w:rPr>
  </w:style>
  <w:style w:type="paragraph" w:styleId="Heading7">
    <w:name w:val="heading 7"/>
    <w:basedOn w:val="Normal"/>
    <w:next w:val="Normal"/>
    <w:semiHidden/>
    <w:pPr>
      <w:spacing w:before="240" w:after="60"/>
      <w:outlineLvl w:val="6"/>
    </w:pPr>
    <w:rPr>
      <w:sz w:val="24"/>
      <w:szCs w:val="24"/>
    </w:rPr>
  </w:style>
  <w:style w:type="paragraph" w:styleId="Heading8">
    <w:name w:val="heading 8"/>
    <w:basedOn w:val="Normal"/>
    <w:next w:val="Normal"/>
    <w:semiHidden/>
    <w:pPr>
      <w:spacing w:before="240" w:after="60"/>
      <w:outlineLvl w:val="7"/>
    </w:pPr>
    <w:rPr>
      <w:i/>
      <w:iCs/>
      <w:sz w:val="24"/>
      <w:szCs w:val="24"/>
    </w:rPr>
  </w:style>
  <w:style w:type="paragraph" w:styleId="Heading9">
    <w:name w:val="heading 9"/>
    <w:basedOn w:val="Normal"/>
    <w:next w:val="Normal"/>
    <w:semiHidden/>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tref,BVI fnr,16 Point,Superscript 6 Point,Footnote,Footnote symbol,Footnote Refernece,Texto de nota al pie,Fußnotenzeichen_Raxen"/>
    <w:qFormat/>
    <w:rPr>
      <w:rFonts w:ascii="Times New Roman" w:hAnsi="Times New Roman"/>
      <w:sz w:val="18"/>
      <w:vertAlign w:val="superscript"/>
    </w:rPr>
  </w:style>
  <w:style w:type="paragraph" w:customStyle="1" w:styleId="HMG">
    <w:name w:val="_ H __M_G"/>
    <w:basedOn w:val="Normal"/>
    <w:next w:val="Normal"/>
    <w:link w:val="HMGChar"/>
    <w:qFormat/>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Pr>
      <w:b/>
      <w:sz w:val="34"/>
      <w:lang w:val="es-ES" w:eastAsia="es-ES"/>
    </w:rPr>
  </w:style>
  <w:style w:type="character" w:customStyle="1" w:styleId="HChGChar">
    <w:name w:val="_ H _Ch_G Char"/>
    <w:link w:val="HChG"/>
    <w:rPr>
      <w:b/>
      <w:sz w:val="28"/>
      <w:lang w:val="es-ES" w:eastAsia="es-ES"/>
    </w:rPr>
  </w:style>
  <w:style w:type="paragraph" w:customStyle="1" w:styleId="H1G">
    <w:name w:val="_ H_1_G"/>
    <w:basedOn w:val="Normal"/>
    <w:next w:val="Normal"/>
    <w:qFormat/>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pPr>
      <w:pBdr>
        <w:bottom w:val="single" w:sz="4" w:space="4" w:color="auto"/>
      </w:pBdr>
      <w:spacing w:line="240" w:lineRule="auto"/>
    </w:pPr>
    <w:rPr>
      <w:b/>
      <w:sz w:val="18"/>
    </w:rPr>
  </w:style>
  <w:style w:type="paragraph" w:customStyle="1" w:styleId="SingleTxtG">
    <w:name w:val="_ Single Txt_G"/>
    <w:basedOn w:val="Normal"/>
    <w:link w:val="SingleTxtGChar"/>
    <w:qFormat/>
    <w:pPr>
      <w:spacing w:after="120"/>
      <w:ind w:left="1134" w:right="1134"/>
      <w:jc w:val="both"/>
    </w:pPr>
  </w:style>
  <w:style w:type="paragraph" w:customStyle="1" w:styleId="SMG">
    <w:name w:val="__S_M_G"/>
    <w:basedOn w:val="Normal"/>
    <w:next w:val="Normal"/>
    <w:pPr>
      <w:keepNext/>
      <w:keepLines/>
      <w:suppressAutoHyphens/>
      <w:spacing w:before="240" w:after="240" w:line="420" w:lineRule="exact"/>
      <w:ind w:left="1134" w:right="1134"/>
    </w:pPr>
    <w:rPr>
      <w:b/>
      <w:sz w:val="40"/>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styleId="Footer">
    <w:name w:val="footer"/>
    <w:aliases w:val="3_G"/>
    <w:basedOn w:val="Normal"/>
    <w:next w:val="Normal"/>
    <w:link w:val="FooterChar"/>
    <w:qFormat/>
    <w:rPr>
      <w:sz w:val="16"/>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pPr>
      <w:tabs>
        <w:tab w:val="right" w:pos="1021"/>
      </w:tabs>
      <w:spacing w:line="220" w:lineRule="exact"/>
      <w:ind w:left="1134" w:right="1134" w:hanging="1134"/>
    </w:pPr>
    <w:rPr>
      <w:sz w:val="18"/>
    </w:rPr>
  </w:style>
  <w:style w:type="table" w:styleId="TableGrid">
    <w:name w:val="Table Grid"/>
    <w:basedOn w:val="TableNormal"/>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3"/>
      </w:numPr>
    </w:pPr>
  </w:style>
  <w:style w:type="numbering" w:styleId="1ai">
    <w:name w:val="Outline List 1"/>
    <w:basedOn w:val="NoList"/>
    <w:semiHidden/>
    <w:pPr>
      <w:numPr>
        <w:numId w:val="4"/>
      </w:numPr>
    </w:pPr>
  </w:style>
  <w:style w:type="character" w:styleId="HTMLAcronym">
    <w:name w:val="HTML Acronym"/>
    <w:basedOn w:val="DefaultParagraphFont"/>
    <w:semiHidden/>
  </w:style>
  <w:style w:type="numbering" w:styleId="ArticleSection">
    <w:name w:val="Outline List 3"/>
    <w:basedOn w:val="NoList"/>
    <w:semiHidden/>
    <w:pPr>
      <w:numPr>
        <w:numId w:val="5"/>
      </w:numPr>
    </w:pPr>
  </w:style>
  <w:style w:type="paragraph" w:styleId="Closing">
    <w:name w:val="Closing"/>
    <w:basedOn w:val="Normal"/>
    <w:semiHidden/>
    <w:pPr>
      <w:ind w:left="4252"/>
    </w:p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character" w:styleId="HTMLDefinition">
    <w:name w:val="HTML Definition"/>
    <w:semiHidden/>
    <w:rPr>
      <w:i/>
      <w:iCs/>
    </w:rPr>
  </w:style>
  <w:style w:type="paragraph" w:styleId="HTMLAddress">
    <w:name w:val="HTML Address"/>
    <w:basedOn w:val="Normal"/>
    <w:semiHidden/>
    <w:rPr>
      <w:i/>
      <w:iCs/>
    </w:rPr>
  </w:style>
  <w:style w:type="paragraph" w:styleId="EnvelopeAddress">
    <w:name w:val="envelope address"/>
    <w:basedOn w:val="Normal"/>
    <w:semiHidden/>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style>
  <w:style w:type="character" w:styleId="Emphasis">
    <w:name w:val="Emphasis"/>
    <w:semiHidden/>
    <w:rPr>
      <w:i/>
      <w:iCs/>
    </w:rPr>
  </w:style>
  <w:style w:type="paragraph" w:styleId="Date">
    <w:name w:val="Date"/>
    <w:basedOn w:val="Normal"/>
    <w:next w:val="Normal"/>
    <w:semiHidden/>
  </w:style>
  <w:style w:type="paragraph" w:styleId="Signature">
    <w:name w:val="Signature"/>
    <w:basedOn w:val="Normal"/>
    <w:semiHidden/>
    <w:pPr>
      <w:ind w:left="4252"/>
    </w:pPr>
  </w:style>
  <w:style w:type="paragraph" w:styleId="E-mailSignature">
    <w:name w:val="E-mail Signature"/>
    <w:basedOn w:val="Normal"/>
    <w:semiHidden/>
  </w:style>
  <w:style w:type="character" w:styleId="Hyperlink">
    <w:name w:val="Hyperlink"/>
    <w:semiHidden/>
    <w:rPr>
      <w:color w:val="0000FF"/>
      <w:u w:val="none"/>
    </w:rPr>
  </w:style>
  <w:style w:type="character" w:styleId="FollowedHyperlink">
    <w:name w:val="FollowedHyperlink"/>
    <w:semiHidden/>
    <w:rPr>
      <w:color w:val="0000FF"/>
      <w:u w:val="none"/>
    </w:rPr>
  </w:style>
  <w:style w:type="paragraph" w:styleId="HTMLPreformatted">
    <w:name w:val="HTML Preformatted"/>
    <w:basedOn w:val="Normal"/>
    <w:semiHidden/>
    <w:rPr>
      <w:rFonts w:ascii="Courier New" w:hAnsi="Courier New" w:cs="Courier New"/>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Number">
    <w:name w:val="List Number"/>
    <w:basedOn w:val="Normal"/>
    <w:semiHidden/>
    <w:pPr>
      <w:numPr>
        <w:numId w:val="21"/>
      </w:numPr>
    </w:pPr>
  </w:style>
  <w:style w:type="paragraph" w:styleId="ListNumber2">
    <w:name w:val="List Number 2"/>
    <w:basedOn w:val="Normal"/>
    <w:semiHidden/>
    <w:pPr>
      <w:numPr>
        <w:numId w:val="22"/>
      </w:numPr>
    </w:pPr>
  </w:style>
  <w:style w:type="paragraph" w:styleId="ListNumber3">
    <w:name w:val="List Number 3"/>
    <w:basedOn w:val="Normal"/>
    <w:semiHidden/>
    <w:pPr>
      <w:numPr>
        <w:numId w:val="23"/>
      </w:numPr>
    </w:pPr>
  </w:style>
  <w:style w:type="paragraph" w:styleId="ListNumber4">
    <w:name w:val="List Number 4"/>
    <w:basedOn w:val="Normal"/>
    <w:semiHidden/>
    <w:pPr>
      <w:numPr>
        <w:numId w:val="24"/>
      </w:numPr>
    </w:pPr>
  </w:style>
  <w:style w:type="paragraph" w:styleId="ListNumber5">
    <w:name w:val="List Number 5"/>
    <w:basedOn w:val="Normal"/>
    <w:semiHidden/>
    <w:pPr>
      <w:numPr>
        <w:numId w:val="25"/>
      </w:numPr>
    </w:pPr>
  </w:style>
  <w:style w:type="paragraph" w:styleId="ListBullet">
    <w:name w:val="List Bullet"/>
    <w:basedOn w:val="Normal"/>
    <w:semiHidden/>
    <w:pPr>
      <w:numPr>
        <w:numId w:val="26"/>
      </w:numPr>
    </w:pPr>
  </w:style>
  <w:style w:type="paragraph" w:styleId="ListBullet2">
    <w:name w:val="List Bullet 2"/>
    <w:basedOn w:val="Normal"/>
    <w:semiHidden/>
    <w:pPr>
      <w:numPr>
        <w:numId w:val="27"/>
      </w:numPr>
    </w:pPr>
  </w:style>
  <w:style w:type="paragraph" w:styleId="ListBullet3">
    <w:name w:val="List Bullet 3"/>
    <w:basedOn w:val="Normal"/>
    <w:semiHidden/>
    <w:pPr>
      <w:numPr>
        <w:numId w:val="28"/>
      </w:numPr>
    </w:pPr>
  </w:style>
  <w:style w:type="paragraph" w:styleId="ListBullet4">
    <w:name w:val="List Bullet 4"/>
    <w:basedOn w:val="Normal"/>
    <w:semiHidden/>
    <w:pPr>
      <w:numPr>
        <w:numId w:val="29"/>
      </w:numPr>
    </w:pPr>
  </w:style>
  <w:style w:type="paragraph" w:styleId="ListBullet5">
    <w:name w:val="List Bullet 5"/>
    <w:basedOn w:val="Normal"/>
    <w:semiHidden/>
    <w:pPr>
      <w:numPr>
        <w:numId w:val="30"/>
      </w:numPr>
    </w:pPr>
  </w:style>
  <w:style w:type="character" w:styleId="HTMLTypewriter">
    <w:name w:val="HTML Typewriter"/>
    <w:semiHidden/>
    <w:rPr>
      <w:rFonts w:ascii="Courier New" w:hAnsi="Courier New" w:cs="Courier New"/>
      <w:sz w:val="20"/>
      <w:szCs w:val="20"/>
    </w:rPr>
  </w:style>
  <w:style w:type="paragraph" w:styleId="NormalWeb">
    <w:name w:val="Normal (Web)"/>
    <w:basedOn w:val="Normal"/>
    <w:semiHidden/>
    <w:rPr>
      <w:sz w:val="24"/>
      <w:szCs w:val="24"/>
    </w:rPr>
  </w:style>
  <w:style w:type="character" w:styleId="LineNumber">
    <w:name w:val="line number"/>
    <w:basedOn w:val="DefaultParagraphFont"/>
    <w:semiHidden/>
  </w:style>
  <w:style w:type="character" w:styleId="PageNumber">
    <w:name w:val="page number"/>
    <w:aliases w:val="7_G"/>
    <w:qFormat/>
    <w:rPr>
      <w:b/>
      <w:sz w:val="18"/>
    </w:rPr>
  </w:style>
  <w:style w:type="character" w:styleId="EndnoteReference">
    <w:name w:val="endnote reference"/>
    <w:aliases w:val="1_G"/>
    <w:qFormat/>
    <w:rPr>
      <w:rFonts w:ascii="Times New Roman" w:hAnsi="Times New Roman"/>
      <w:sz w:val="18"/>
      <w:vertAlign w:val="superscript"/>
    </w:rPr>
  </w:style>
  <w:style w:type="paragraph" w:styleId="EnvelopeReturn">
    <w:name w:val="envelope return"/>
    <w:basedOn w:val="Normal"/>
    <w:semiHidden/>
    <w:rPr>
      <w:rFonts w:ascii="Arial" w:hAnsi="Arial" w:cs="Arial"/>
    </w:rPr>
  </w:style>
  <w:style w:type="paragraph" w:styleId="Salutation">
    <w:name w:val="Salutation"/>
    <w:basedOn w:val="Normal"/>
    <w:next w:val="Normal"/>
    <w:semiHidden/>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BodyTextIndent">
    <w:name w:val="Body Text Indent"/>
    <w:basedOn w:val="Normal"/>
    <w:semiHidden/>
    <w:pPr>
      <w:spacing w:after="120"/>
      <w:ind w:left="283"/>
    </w:pPr>
  </w:style>
  <w:style w:type="paragraph" w:styleId="NormalIndent">
    <w:name w:val="Normal Indent"/>
    <w:basedOn w:val="Normal"/>
    <w:semiHidden/>
    <w:pPr>
      <w:ind w:left="567"/>
    </w:pPr>
  </w:style>
  <w:style w:type="paragraph" w:styleId="Subtitle">
    <w:name w:val="Subtitle"/>
    <w:basedOn w:val="Normal"/>
    <w:semiHidden/>
    <w:pPr>
      <w:spacing w:after="60"/>
      <w:jc w:val="center"/>
      <w:outlineLvl w:val="1"/>
    </w:pPr>
    <w:rPr>
      <w:rFonts w:ascii="Arial" w:hAnsi="Arial" w:cs="Arial"/>
      <w:sz w:val="24"/>
      <w:szCs w:val="24"/>
    </w:rPr>
  </w:style>
  <w:style w:type="table" w:styleId="TableSimple1">
    <w:name w:val="Table Simple 1"/>
    <w:basedOn w:val="TableNormal"/>
    <w:semiHidden/>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Pr>
      <w:rFonts w:ascii="Courier New" w:hAnsi="Courier New" w:cs="Courier New"/>
      <w:sz w:val="20"/>
      <w:szCs w:val="20"/>
    </w:rPr>
  </w:style>
  <w:style w:type="paragraph" w:styleId="BlockText">
    <w:name w:val="Block Text"/>
    <w:basedOn w:val="Normal"/>
    <w:semiHidden/>
    <w:pPr>
      <w:spacing w:after="120"/>
      <w:ind w:left="1440" w:right="1440"/>
    </w:pPr>
  </w:style>
  <w:style w:type="character" w:styleId="Strong">
    <w:name w:val="Strong"/>
    <w:semiHidden/>
    <w:rPr>
      <w:b/>
      <w:bCs/>
    </w:r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ind w:firstLine="210"/>
    </w:pPr>
  </w:style>
  <w:style w:type="paragraph" w:styleId="EndnoteText">
    <w:name w:val="endnote text"/>
    <w:aliases w:val="2_G"/>
    <w:basedOn w:val="FootnoteText"/>
    <w:qFormat/>
  </w:style>
  <w:style w:type="paragraph" w:styleId="PlainText">
    <w:name w:val="Plain Text"/>
    <w:basedOn w:val="Normal"/>
    <w:semiHidden/>
    <w:rPr>
      <w:rFonts w:ascii="Courier New" w:hAnsi="Courier New" w:cs="Courier New"/>
    </w:rPr>
  </w:style>
  <w:style w:type="paragraph" w:styleId="Title">
    <w:name w:val="Title"/>
    <w:basedOn w:val="Normal"/>
    <w:semiHidden/>
    <w:pPr>
      <w:spacing w:before="240" w:after="60"/>
      <w:jc w:val="center"/>
      <w:outlineLvl w:val="0"/>
    </w:pPr>
    <w:rPr>
      <w:rFonts w:ascii="Arial" w:hAnsi="Arial" w:cs="Arial"/>
      <w:b/>
      <w:bCs/>
      <w:kern w:val="28"/>
      <w:sz w:val="32"/>
      <w:szCs w:val="32"/>
    </w:rPr>
  </w:style>
  <w:style w:type="character" w:styleId="HTMLVariable">
    <w:name w:val="HTML Variable"/>
    <w:semiHidden/>
    <w:rPr>
      <w:i/>
      <w:iCs/>
    </w:rPr>
  </w:style>
  <w:style w:type="paragraph" w:customStyle="1" w:styleId="Bullet1G">
    <w:name w:val="_Bullet 1_G"/>
    <w:basedOn w:val="Normal"/>
    <w:qFormat/>
    <w:pPr>
      <w:numPr>
        <w:numId w:val="16"/>
      </w:numPr>
      <w:spacing w:after="120"/>
      <w:ind w:right="1134"/>
      <w:jc w:val="both"/>
    </w:pPr>
    <w:rPr>
      <w:lang w:eastAsia="en-US"/>
    </w:rPr>
  </w:style>
  <w:style w:type="paragraph" w:customStyle="1" w:styleId="Bullet2G">
    <w:name w:val="_Bullet 2_G"/>
    <w:basedOn w:val="Normal"/>
    <w:qFormat/>
    <w:pPr>
      <w:numPr>
        <w:numId w:val="17"/>
      </w:numPr>
      <w:spacing w:after="120"/>
      <w:ind w:right="1134"/>
      <w:jc w:val="both"/>
    </w:pPr>
  </w:style>
  <w:style w:type="paragraph" w:styleId="BalloonText">
    <w:name w:val="Balloon Text"/>
    <w:basedOn w:val="Normal"/>
    <w:link w:val="BalloonTextChar"/>
    <w:semiHidden/>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lang w:val="es-ES" w:eastAsia="es-ES"/>
    </w:rPr>
  </w:style>
  <w:style w:type="paragraph" w:styleId="IntenseQuote">
    <w:name w:val="Intense Quote"/>
    <w:basedOn w:val="Normal"/>
    <w:next w:val="Normal"/>
    <w:link w:val="IntenseQuoteChar"/>
    <w:uiPriority w:val="30"/>
    <w:semiHidden/>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Pr>
      <w:b/>
      <w:bCs/>
      <w:i/>
      <w:iCs/>
      <w:color w:val="4F81BD"/>
      <w:lang w:val="es-ES" w:eastAsia="es-ES"/>
    </w:rPr>
  </w:style>
  <w:style w:type="character" w:styleId="IntenseEmphasis">
    <w:name w:val="Intense Emphasis"/>
    <w:uiPriority w:val="21"/>
    <w:semiHidden/>
    <w:rPr>
      <w:b/>
      <w:bCs/>
      <w:i/>
      <w:iCs/>
      <w:color w:val="4F81BD"/>
    </w:rPr>
  </w:style>
  <w:style w:type="character" w:customStyle="1" w:styleId="Heading1Char">
    <w:name w:val="Heading 1 Char"/>
    <w:aliases w:val="Cuadro_G Char"/>
    <w:basedOn w:val="DefaultParagraphFont"/>
    <w:link w:val="Heading1"/>
    <w:rPr>
      <w:lang w:val="fr-CH" w:eastAsia="en-US"/>
    </w:rPr>
  </w:style>
  <w:style w:type="table" w:customStyle="1" w:styleId="Tablaconcuadrcula1">
    <w:name w:val="Tabla con cuadrícula1"/>
    <w:basedOn w:val="TableNormal"/>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Pr>
      <w:lang w:val="es-ES" w:eastAsia="es-ES"/>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link w:val="FootnoteText"/>
    <w:locked/>
    <w:rPr>
      <w:sz w:val="18"/>
      <w:lang w:val="es-ES" w:eastAsia="es-ES"/>
    </w:rPr>
  </w:style>
  <w:style w:type="character" w:customStyle="1" w:styleId="H23GChar">
    <w:name w:val="_ H_2/3_G Char"/>
    <w:link w:val="H23G"/>
    <w:locked/>
    <w:rPr>
      <w:b/>
      <w:lang w:val="es-ES" w:eastAsia="es-ES"/>
    </w:rPr>
  </w:style>
  <w:style w:type="character" w:customStyle="1" w:styleId="FooterChar">
    <w:name w:val="Footer Char"/>
    <w:aliases w:val="3_G Char"/>
    <w:basedOn w:val="DefaultParagraphFont"/>
    <w:link w:val="Footer"/>
    <w:rPr>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97064-1C73-4A4F-8608-9DC5203B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862</Words>
  <Characters>4746</Characters>
  <Application>Microsoft Office Word</Application>
  <DocSecurity>0</DocSecurity>
  <Lines>39</Lines>
  <Paragraphs>11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14</cp:revision>
  <cp:lastPrinted>2017-04-25T13:54:00Z</cp:lastPrinted>
  <dcterms:created xsi:type="dcterms:W3CDTF">2017-04-25T14:18:00Z</dcterms:created>
  <dcterms:modified xsi:type="dcterms:W3CDTF">2018-05-14T09:38:00Z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virs">
    <vt:lpwstr>virs</vt:lpwstr>
  </property>
  <property fmtid="{D5CDD505-2E9C-101B-9397-08002B2CF9AE}" pid="9" name="snum">
    <vt:lpwstr>snum</vt:lpwstr>
  </property>
  <property fmtid="{D5CDD505-2E9C-101B-9397-08002B2CF9AE}" pid="10" name="sdate">
    <vt:lpwstr>sdate</vt:lpwstr>
  </property>
  <property fmtid="{D5CDD505-2E9C-101B-9397-08002B2CF9AE}" pid="11" name="anum">
    <vt:lpwstr>anum</vt:lpwstr>
  </property>
  <property fmtid="{D5CDD505-2E9C-101B-9397-08002B2CF9AE}" pid="12" name="atitle">
    <vt:lpwstr>atitle</vt:lpwstr>
  </property>
  <property fmtid="{D5CDD505-2E9C-101B-9397-08002B2CF9AE}" pid="13" name="count">
    <vt:lpwstr>count</vt:lpwstr>
  </property>
  <property fmtid="{D5CDD505-2E9C-101B-9397-08002B2CF9AE}" pid="14" name="prep">
    <vt:lpwstr>prep</vt:lpwstr>
  </property>
  <property fmtid="{D5CDD505-2E9C-101B-9397-08002B2CF9AE}" pid="15" name="stitle">
    <vt:lpwstr>stitle</vt:lpwstr>
  </property>
  <property fmtid="{D5CDD505-2E9C-101B-9397-08002B2CF9AE}" pid="16" name="gdoc">
    <vt:lpwstr>gdoc</vt:lpwstr>
  </property>
  <property fmtid="{D5CDD505-2E9C-101B-9397-08002B2CF9AE}" pid="17" name="bar">
    <vt:lpwstr>*0123456789</vt:lpwstr>
  </property>
  <property fmtid="{D5CDD505-2E9C-101B-9397-08002B2CF9AE}" pid="18" name="gdocf">
    <vt:lpwstr>gdocf</vt:lpwstr>
  </property>
  <property fmtid="{D5CDD505-2E9C-101B-9397-08002B2CF9AE}" pid="19" name="countw">
    <vt:lpwstr>countw</vt:lpwstr>
  </property>
  <property fmtid="{D5CDD505-2E9C-101B-9397-08002B2CF9AE}" pid="20" name="prepw">
    <vt:lpwstr>prepw</vt:lpwstr>
  </property>
  <property fmtid="{D5CDD505-2E9C-101B-9397-08002B2CF9AE}" pid="21" name="preps">
    <vt:lpwstr>preps</vt:lpwstr>
  </property>
  <property fmtid="{D5CDD505-2E9C-101B-9397-08002B2CF9AE}" pid="22" name="prepws">
    <vt:lpwstr>prepws</vt:lpwstr>
  </property>
</Properties>
</file>