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6A45BF">
        <w:trPr>
          <w:cantSplit/>
          <w:trHeight w:hRule="exact" w:val="851"/>
        </w:trPr>
        <w:tc>
          <w:tcPr>
            <w:tcW w:w="1276" w:type="dxa"/>
            <w:tcBorders>
              <w:bottom w:val="single" w:sz="4" w:space="0" w:color="auto"/>
            </w:tcBorders>
            <w:vAlign w:val="bottom"/>
          </w:tcPr>
          <w:p w:rsidR="006A45BF" w:rsidRDefault="006A45BF">
            <w:pPr>
              <w:spacing w:after="80"/>
            </w:pPr>
          </w:p>
        </w:tc>
        <w:tc>
          <w:tcPr>
            <w:tcW w:w="2268" w:type="dxa"/>
            <w:tcBorders>
              <w:bottom w:val="single" w:sz="4" w:space="0" w:color="auto"/>
            </w:tcBorders>
            <w:vAlign w:val="bottom"/>
          </w:tcPr>
          <w:p w:rsidR="006A45BF" w:rsidRDefault="00DC7966">
            <w:pPr>
              <w:spacing w:after="80" w:line="300" w:lineRule="exact"/>
              <w:rPr>
                <w:b/>
                <w:sz w:val="24"/>
                <w:szCs w:val="24"/>
              </w:rPr>
            </w:pPr>
            <w:r>
              <w:rPr>
                <w:sz w:val="28"/>
              </w:rPr>
              <w:t>Nations Unies</w:t>
            </w:r>
          </w:p>
        </w:tc>
        <w:tc>
          <w:tcPr>
            <w:tcW w:w="6095" w:type="dxa"/>
            <w:gridSpan w:val="2"/>
            <w:tcBorders>
              <w:bottom w:val="single" w:sz="4" w:space="0" w:color="auto"/>
            </w:tcBorders>
            <w:vAlign w:val="bottom"/>
          </w:tcPr>
          <w:p w:rsidR="006A45BF" w:rsidRDefault="00DC7966">
            <w:pPr>
              <w:suppressAutoHyphens w:val="0"/>
              <w:spacing w:after="20"/>
              <w:jc w:val="right"/>
            </w:pPr>
            <w:r>
              <w:rPr>
                <w:sz w:val="40"/>
              </w:rPr>
              <w:t>CAT</w:t>
            </w:r>
            <w:r>
              <w:t>/</w:t>
            </w:r>
            <w:fldSimple w:instr=" DOCPROPERTY  sym1  \* MERGEFORMAT ">
              <w:r>
                <w:t>sym1</w:t>
              </w:r>
            </w:fldSimple>
          </w:p>
        </w:tc>
      </w:tr>
      <w:tr w:rsidR="006A45BF">
        <w:trPr>
          <w:cantSplit/>
          <w:trHeight w:hRule="exact" w:val="2835"/>
        </w:trPr>
        <w:tc>
          <w:tcPr>
            <w:tcW w:w="1276" w:type="dxa"/>
            <w:tcBorders>
              <w:top w:val="single" w:sz="4" w:space="0" w:color="auto"/>
              <w:bottom w:val="single" w:sz="12" w:space="0" w:color="auto"/>
            </w:tcBorders>
          </w:tcPr>
          <w:p w:rsidR="006A45BF" w:rsidRDefault="00DC7966">
            <w:pPr>
              <w:spacing w:before="120"/>
              <w:jc w:val="center"/>
            </w:pPr>
            <w:r>
              <w:rPr>
                <w:noProof/>
                <w:lang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6A45BF" w:rsidRDefault="00DC7966">
            <w:pPr>
              <w:spacing w:before="120" w:line="380" w:lineRule="exact"/>
            </w:pPr>
            <w:r>
              <w:rPr>
                <w:b/>
                <w:sz w:val="34"/>
                <w:szCs w:val="34"/>
              </w:rPr>
              <w:t>Convention contre</w:t>
            </w:r>
            <w:r>
              <w:rPr>
                <w:b/>
                <w:sz w:val="34"/>
                <w:szCs w:val="34"/>
              </w:rPr>
              <w:br/>
              <w:t>la torture et autres peines</w:t>
            </w:r>
            <w:r>
              <w:rPr>
                <w:b/>
                <w:sz w:val="34"/>
                <w:szCs w:val="34"/>
              </w:rPr>
              <w:br/>
              <w:t>ou traitements cruels,</w:t>
            </w:r>
            <w:r>
              <w:rPr>
                <w:b/>
                <w:sz w:val="34"/>
                <w:szCs w:val="34"/>
              </w:rPr>
              <w:br/>
              <w:t>inhumains ou dégradants</w:t>
            </w:r>
          </w:p>
        </w:tc>
        <w:tc>
          <w:tcPr>
            <w:tcW w:w="2835" w:type="dxa"/>
            <w:tcBorders>
              <w:top w:val="single" w:sz="4" w:space="0" w:color="auto"/>
              <w:bottom w:val="single" w:sz="12" w:space="0" w:color="auto"/>
            </w:tcBorders>
          </w:tcPr>
          <w:p w:rsidR="006A45BF" w:rsidRDefault="00793BB7">
            <w:pPr>
              <w:suppressAutoHyphens w:val="0"/>
              <w:spacing w:before="240" w:line="240" w:lineRule="exact"/>
            </w:pPr>
            <w:r>
              <w:t>Distr.</w:t>
            </w:r>
            <w:r w:rsidR="00DC7966">
              <w:t xml:space="preserve"> </w:t>
            </w:r>
            <w:fldSimple w:instr=" DOCPROPERTY  dist  \* MERGEFORMAT ">
              <w:r w:rsidR="00DC7966">
                <w:t>Dist</w:t>
              </w:r>
            </w:fldSimple>
          </w:p>
          <w:p w:rsidR="006A45BF" w:rsidRDefault="00DC7966">
            <w:pPr>
              <w:suppressAutoHyphens w:val="0"/>
            </w:pPr>
            <w:fldSimple w:instr=" DOCPROPERTY  date  \* MERGEFORMAT ">
              <w:r>
                <w:t>date</w:t>
              </w:r>
            </w:fldSimple>
          </w:p>
          <w:p w:rsidR="006A45BF" w:rsidRDefault="00DC7966">
            <w:pPr>
              <w:suppressAutoHyphens w:val="0"/>
            </w:pPr>
            <w:fldSimple w:instr=" DOCPROPERTY  tlang  \* MERGEFORMAT ">
              <w:r>
                <w:t>tlang</w:t>
              </w:r>
            </w:fldSimple>
          </w:p>
          <w:p w:rsidR="006A45BF" w:rsidRDefault="00921577">
            <w:pPr>
              <w:suppressAutoHyphens w:val="0"/>
            </w:pPr>
            <w:r>
              <w:t>Original :</w:t>
            </w:r>
            <w:bookmarkStart w:id="0" w:name="_GoBack"/>
            <w:bookmarkEnd w:id="0"/>
            <w:r w:rsidR="00DC7966">
              <w:t xml:space="preserve"> </w:t>
            </w:r>
            <w:fldSimple w:instr=" DOCPROPERTY  olang  \* MERGEFORMAT ">
              <w:r w:rsidR="00DC7966">
                <w:t>olang</w:t>
              </w:r>
            </w:fldSimple>
          </w:p>
          <w:p w:rsidR="006A45BF" w:rsidRDefault="00DC7966">
            <w:pPr>
              <w:suppressAutoHyphens w:val="0"/>
            </w:pPr>
            <w:fldSimple w:instr=" DOCPROPERTY  virs  \* MERGEFORMAT ">
              <w:r>
                <w:t>virs</w:t>
              </w:r>
            </w:fldSimple>
          </w:p>
        </w:tc>
      </w:tr>
    </w:tbl>
    <w:p w:rsidR="006A45BF" w:rsidRDefault="00DC7966">
      <w:pPr>
        <w:spacing w:before="120"/>
        <w:rPr>
          <w:b/>
          <w:sz w:val="24"/>
          <w:szCs w:val="24"/>
        </w:rPr>
      </w:pPr>
      <w:r>
        <w:rPr>
          <w:b/>
          <w:sz w:val="24"/>
          <w:szCs w:val="24"/>
        </w:rPr>
        <w:t>Comité contre la torture</w:t>
      </w:r>
    </w:p>
    <w:p w:rsidR="006A45BF" w:rsidRDefault="00DC7966">
      <w:pPr>
        <w:pStyle w:val="HChG"/>
      </w:pPr>
      <w:r>
        <w:tab/>
      </w:r>
      <w:r>
        <w:tab/>
        <w:t xml:space="preserve">Liste de points établie avant la soumission du </w:t>
      </w:r>
      <w:fldSimple w:instr=" DOCPROPERTY  prep  \* MERGEFORMAT ">
        <w:r>
          <w:t>prep</w:t>
        </w:r>
      </w:fldSimple>
      <w:r>
        <w:rPr>
          <w:rStyle w:val="FootnoteReference"/>
          <w:b w:val="0"/>
          <w:sz w:val="20"/>
          <w:vertAlign w:val="baseline"/>
        </w:rPr>
        <w:footnoteReference w:customMarkFollows="1" w:id="2"/>
        <w:sym w:font="Symbol" w:char="F02A"/>
      </w:r>
    </w:p>
    <w:p w:rsidR="006A45BF" w:rsidRDefault="00DC7966">
      <w:pPr>
        <w:pStyle w:val="H1G"/>
      </w:pPr>
      <w:r>
        <w:tab/>
      </w:r>
      <w:r>
        <w:tab/>
        <w:t>Renseignements concernant spécifiquement la mise en œuvre des articles 1</w:t>
      </w:r>
      <w:r>
        <w:rPr>
          <w:vertAlign w:val="superscript"/>
        </w:rPr>
        <w:t>er</w:t>
      </w:r>
      <w:r>
        <w:t xml:space="preserve"> à 16 de la Convention, notamment au regard des précédentes recommandations du Comité</w:t>
      </w:r>
    </w:p>
    <w:p w:rsidR="006A45BF" w:rsidRDefault="00DC7966">
      <w:pPr>
        <w:pStyle w:val="H23G"/>
      </w:pPr>
      <w:r>
        <w:tab/>
      </w:r>
      <w:r>
        <w:tab/>
        <w:t>Articles 1</w:t>
      </w:r>
      <w:r>
        <w:rPr>
          <w:vertAlign w:val="superscript"/>
        </w:rPr>
        <w:t>er</w:t>
      </w:r>
      <w:r>
        <w:t xml:space="preserve"> et 4</w:t>
      </w:r>
    </w:p>
    <w:p w:rsidR="006A45BF" w:rsidRDefault="00DC7966">
      <w:pPr>
        <w:pStyle w:val="SingleTxtG"/>
      </w:pPr>
      <w:r>
        <w:rPr>
          <w:color w:val="FF0000"/>
        </w:rPr>
        <w:t>X</w:t>
      </w:r>
      <w:r>
        <w:t>.</w:t>
      </w:r>
      <w:r>
        <w:tab/>
        <w:t xml:space="preserve">Compte tenu des précédentes observations finales du Comité (voir </w:t>
      </w:r>
      <w:r>
        <w:rPr>
          <w:rStyle w:val="FootnoteTextChar"/>
        </w:rPr>
        <w:t>CAT/C/</w:t>
      </w:r>
      <w:r>
        <w:rPr>
          <w:rStyle w:val="FootnoteTextChar"/>
          <w:color w:val="FF0000"/>
        </w:rPr>
        <w:t>XXX</w:t>
      </w:r>
      <w:r>
        <w:rPr>
          <w:rStyle w:val="FootnoteTextChar"/>
        </w:rPr>
        <w:t>/CO/</w:t>
      </w:r>
      <w:r>
        <w:rPr>
          <w:rStyle w:val="FootnoteTextChar"/>
          <w:color w:val="FF0000"/>
        </w:rPr>
        <w:t>X</w:t>
      </w:r>
      <w:r>
        <w:t>, par. x)</w:t>
      </w:r>
      <w:r>
        <w:rPr>
          <w:rStyle w:val="FootnoteReference"/>
        </w:rPr>
        <w:footnoteReference w:id="3"/>
      </w:r>
      <w:r>
        <w:rPr>
          <w:lang w:eastAsia="es-ES"/>
        </w:rPr>
        <w:t xml:space="preserve">, </w:t>
      </w:r>
      <w:r>
        <w:t>donner des renseignements à jour sur</w:t>
      </w:r>
      <w:r>
        <w:rPr>
          <w:color w:val="FF0000"/>
          <w:lang w:eastAsia="es-ES"/>
        </w:rPr>
        <w:t xml:space="preserve"> …</w:t>
      </w:r>
      <w:r>
        <w:t>.</w:t>
      </w:r>
    </w:p>
    <w:p w:rsidR="006A45BF" w:rsidRDefault="00DC7966">
      <w:pPr>
        <w:pStyle w:val="H23G"/>
        <w:keepNext w:val="0"/>
        <w:keepLines w:val="0"/>
      </w:pPr>
      <w:r>
        <w:tab/>
      </w:r>
      <w:r>
        <w:tab/>
        <w:t>Article 2</w:t>
      </w:r>
      <w:r>
        <w:rPr>
          <w:rStyle w:val="FootnoteReference"/>
          <w:b w:val="0"/>
          <w:bCs/>
        </w:rPr>
        <w:footnoteReference w:id="4"/>
      </w:r>
    </w:p>
    <w:p w:rsidR="006A45BF" w:rsidRDefault="00DC7966">
      <w:pPr>
        <w:pStyle w:val="H23G"/>
        <w:keepNext w:val="0"/>
        <w:keepLines w:val="0"/>
      </w:pPr>
      <w:r>
        <w:tab/>
      </w:r>
      <w:r>
        <w:tab/>
        <w:t>Article 3</w:t>
      </w:r>
    </w:p>
    <w:p w:rsidR="006A45BF" w:rsidRDefault="00DC7966">
      <w:pPr>
        <w:pStyle w:val="H23G"/>
        <w:keepNext w:val="0"/>
        <w:keepLines w:val="0"/>
      </w:pPr>
      <w:r>
        <w:tab/>
      </w:r>
      <w:r>
        <w:tab/>
      </w:r>
      <w:r>
        <w:rPr>
          <w:rFonts w:eastAsia="Calibri"/>
          <w:color w:val="FF0000"/>
        </w:rPr>
        <w:t>[</w:t>
      </w:r>
      <w:r>
        <w:t>Articles 5 et 7</w:t>
      </w:r>
      <w:r>
        <w:rPr>
          <w:rFonts w:eastAsia="Malgun Gothic"/>
          <w:color w:val="FF0000"/>
          <w:lang w:eastAsia="es-ES"/>
        </w:rPr>
        <w:t>]</w:t>
      </w:r>
      <w:r>
        <w:t xml:space="preserve"> </w:t>
      </w:r>
      <w:r>
        <w:rPr>
          <w:rFonts w:eastAsia="Calibri"/>
          <w:color w:val="FF0000"/>
        </w:rPr>
        <w:t>[</w:t>
      </w:r>
      <w:r>
        <w:rPr>
          <w:rFonts w:eastAsia="SimSun"/>
          <w:lang w:eastAsia="zh-CN"/>
        </w:rPr>
        <w:t>Articles 5 à 9</w:t>
      </w:r>
      <w:r>
        <w:rPr>
          <w:rFonts w:eastAsia="Malgun Gothic"/>
          <w:color w:val="FF0000"/>
          <w:lang w:eastAsia="es-ES"/>
        </w:rPr>
        <w:t>]</w:t>
      </w:r>
      <w:r>
        <w:rPr>
          <w:rFonts w:eastAsia="Calibri"/>
          <w:color w:val="FF0000"/>
        </w:rPr>
        <w:t xml:space="preserve"> [</w:t>
      </w:r>
      <w:r>
        <w:rPr>
          <w:rFonts w:eastAsia="SimSun"/>
          <w:lang w:eastAsia="zh-CN"/>
        </w:rPr>
        <w:t>Articles 5, 7 et 8</w:t>
      </w:r>
      <w:r>
        <w:rPr>
          <w:rFonts w:eastAsia="Malgun Gothic"/>
          <w:color w:val="FF0000"/>
          <w:lang w:eastAsia="es-ES"/>
        </w:rPr>
        <w:t>]</w:t>
      </w:r>
      <w:r>
        <w:rPr>
          <w:rFonts w:eastAsia="Calibri"/>
          <w:color w:val="FF0000"/>
        </w:rPr>
        <w:t xml:space="preserve"> [</w:t>
      </w:r>
      <w:r>
        <w:rPr>
          <w:rFonts w:eastAsia="SimSun"/>
          <w:lang w:eastAsia="zh-CN"/>
        </w:rPr>
        <w:t>Articles 5 à 8</w:t>
      </w:r>
      <w:r>
        <w:rPr>
          <w:rFonts w:eastAsia="Malgun Gothic"/>
          <w:color w:val="FF0000"/>
          <w:lang w:eastAsia="es-ES"/>
        </w:rPr>
        <w:t>]</w:t>
      </w:r>
    </w:p>
    <w:p w:rsidR="006A45BF" w:rsidRDefault="00DC7966">
      <w:pPr>
        <w:pStyle w:val="H23G"/>
        <w:rPr>
          <w:rFonts w:eastAsia="SimSun"/>
          <w:lang w:eastAsia="zh-CN"/>
        </w:rPr>
      </w:pPr>
      <w:r>
        <w:rPr>
          <w:rFonts w:eastAsia="SimSun"/>
          <w:lang w:eastAsia="zh-CN"/>
        </w:rPr>
        <w:lastRenderedPageBreak/>
        <w:tab/>
      </w:r>
      <w:r>
        <w:rPr>
          <w:rFonts w:eastAsia="SimSun"/>
          <w:lang w:eastAsia="zh-CN"/>
        </w:rPr>
        <w:tab/>
        <w:t xml:space="preserve">Article 10 </w:t>
      </w:r>
    </w:p>
    <w:p w:rsidR="006A45BF" w:rsidRDefault="00DC7966">
      <w:pPr>
        <w:pStyle w:val="H23G"/>
        <w:rPr>
          <w:rFonts w:eastAsia="SimSun"/>
          <w:lang w:eastAsia="zh-CN"/>
        </w:rPr>
      </w:pPr>
      <w:r>
        <w:rPr>
          <w:rFonts w:eastAsia="SimSun"/>
          <w:lang w:eastAsia="zh-CN"/>
        </w:rPr>
        <w:tab/>
      </w:r>
      <w:r>
        <w:rPr>
          <w:rFonts w:eastAsia="SimSun"/>
          <w:lang w:eastAsia="zh-CN"/>
        </w:rPr>
        <w:tab/>
        <w:t>Article 11</w:t>
      </w:r>
    </w:p>
    <w:p w:rsidR="006A45BF" w:rsidRDefault="00DC7966">
      <w:pPr>
        <w:pStyle w:val="H23G"/>
      </w:pPr>
      <w:r>
        <w:tab/>
      </w:r>
      <w:r>
        <w:tab/>
      </w:r>
      <w:r>
        <w:rPr>
          <w:rFonts w:eastAsia="Calibri"/>
          <w:color w:val="FF0000"/>
        </w:rPr>
        <w:t>[</w:t>
      </w:r>
      <w:r>
        <w:t>Articles 12 et 13</w:t>
      </w:r>
      <w:r>
        <w:rPr>
          <w:rFonts w:eastAsia="Malgun Gothic"/>
          <w:color w:val="FF0000"/>
          <w:lang w:eastAsia="es-ES"/>
        </w:rPr>
        <w:t>]</w:t>
      </w:r>
      <w:r>
        <w:t xml:space="preserve"> </w:t>
      </w:r>
      <w:r>
        <w:rPr>
          <w:rFonts w:eastAsia="Calibri"/>
          <w:color w:val="FF0000"/>
        </w:rPr>
        <w:t>[</w:t>
      </w:r>
      <w:r>
        <w:t>Articles 11 à 13</w:t>
      </w:r>
      <w:r>
        <w:rPr>
          <w:rFonts w:eastAsia="Malgun Gothic"/>
          <w:color w:val="FF0000"/>
          <w:lang w:eastAsia="es-ES"/>
        </w:rPr>
        <w:t>]</w:t>
      </w:r>
    </w:p>
    <w:p w:rsidR="006A45BF" w:rsidRDefault="00DC7966">
      <w:pPr>
        <w:pStyle w:val="H23G"/>
      </w:pPr>
      <w:r>
        <w:tab/>
      </w:r>
      <w:r>
        <w:tab/>
        <w:t>Article 14</w:t>
      </w:r>
    </w:p>
    <w:p w:rsidR="006A45BF" w:rsidRDefault="00DC7966">
      <w:pPr>
        <w:pStyle w:val="H23G"/>
      </w:pPr>
      <w:r>
        <w:tab/>
      </w:r>
      <w:r>
        <w:tab/>
        <w:t>Article 15</w:t>
      </w:r>
    </w:p>
    <w:p w:rsidR="006A45BF" w:rsidRDefault="00DC7966">
      <w:pPr>
        <w:pStyle w:val="H23G"/>
      </w:pPr>
      <w:r>
        <w:tab/>
      </w:r>
      <w:r>
        <w:tab/>
        <w:t>Article 16</w:t>
      </w:r>
    </w:p>
    <w:p w:rsidR="006A45BF" w:rsidRDefault="00DC7966">
      <w:pPr>
        <w:pStyle w:val="H1G"/>
      </w:pPr>
      <w:r>
        <w:tab/>
      </w:r>
      <w:r>
        <w:tab/>
        <w:t>Collecte de données</w:t>
      </w:r>
      <w:r>
        <w:rPr>
          <w:rFonts w:eastAsia="Calibri"/>
          <w:highlight w:val="yellow"/>
        </w:rPr>
        <w:t>[[</w:t>
      </w:r>
      <w:r>
        <w:rPr>
          <w:highlight w:val="yellow"/>
        </w:rPr>
        <w:t>Ne figure pas toujours.</w:t>
      </w:r>
      <w:r>
        <w:rPr>
          <w:rFonts w:eastAsia="Malgun Gothic"/>
          <w:highlight w:val="yellow"/>
          <w:lang w:eastAsia="es-ES"/>
        </w:rPr>
        <w:t>]]</w:t>
      </w:r>
    </w:p>
    <w:p w:rsidR="006A45BF" w:rsidRDefault="00DC7966">
      <w:pPr>
        <w:pStyle w:val="H1G"/>
        <w:rPr>
          <w:bCs/>
        </w:rPr>
      </w:pPr>
      <w:r>
        <w:rPr>
          <w:rFonts w:eastAsia="Calibri"/>
        </w:rPr>
        <w:tab/>
      </w:r>
      <w:r>
        <w:rPr>
          <w:rFonts w:eastAsia="Calibri"/>
        </w:rPr>
        <w:tab/>
      </w:r>
      <w:r>
        <w:t xml:space="preserve">Autres questions </w:t>
      </w:r>
    </w:p>
    <w:p w:rsidR="006A45BF" w:rsidRDefault="00DC7966">
      <w:pPr>
        <w:pStyle w:val="SingleTxtG"/>
      </w:pPr>
      <w:r>
        <w:rPr>
          <w:rFonts w:eastAsia="Calibri"/>
        </w:rPr>
        <w:t>14.</w:t>
      </w:r>
      <w:r>
        <w:rPr>
          <w:rFonts w:eastAsia="Calibri"/>
        </w:rPr>
        <w:tab/>
        <w:t xml:space="preserve">Donner des renseignements à jour sur les mesures que l’État partie a prises pour répondre à la menace d’actes terroristes et indiquer si elles ont porté atteinte aux garanties concernant les droits de l’homme en droit et en pratique, et de quelle manière. Indiquer comment l’État partie assure la compatibilité de ces mesures avec toutes ses obligations en droit international, en particulier au regard de la Convention, conformément aux résolutions du Conseil de sécurité applicables, notamment la résolution 1624 (2005). Donner des informations sur la formation dispensée aux agents de la force publique dans ce domaine, </w:t>
      </w:r>
      <w:r>
        <w:rPr>
          <w:rFonts w:eastAsia="Calibri"/>
          <w:color w:val="FF0000"/>
        </w:rPr>
        <w:t>[le nombre de personnes condamnées] [le nombre et le type de condamnations prononcées]</w:t>
      </w:r>
      <w:r>
        <w:rPr>
          <w:rFonts w:eastAsia="Calibri"/>
        </w:rPr>
        <w:t xml:space="preserve"> en application de la législation antiterroriste, les garanties juridiques assurées et les voies de recours ouvertes aux personnes visées par des mesures antiterroristes </w:t>
      </w:r>
      <w:r>
        <w:rPr>
          <w:rFonts w:eastAsia="Calibri"/>
          <w:color w:val="FF0000"/>
        </w:rPr>
        <w:t>[en droit et en pratique]</w:t>
      </w:r>
      <w:r>
        <w:rPr>
          <w:rFonts w:eastAsia="Calibri"/>
        </w:rPr>
        <w:t> ; préciser si des plaintes pour non-respect des règles internationales ont été déposées et quelle en a été l’issue</w:t>
      </w:r>
      <w:r>
        <w:t>.</w:t>
      </w:r>
    </w:p>
    <w:p w:rsidR="006A45BF" w:rsidRDefault="00DC7966">
      <w:pPr>
        <w:pStyle w:val="SingleTxtG"/>
        <w:rPr>
          <w:b/>
          <w:color w:val="FF0000"/>
          <w:sz w:val="24"/>
          <w:szCs w:val="24"/>
        </w:rPr>
      </w:pPr>
      <w:r>
        <w:rPr>
          <w:rFonts w:eastAsia="Calibri"/>
          <w:b/>
          <w:color w:val="FF0000"/>
          <w:sz w:val="24"/>
          <w:szCs w:val="24"/>
        </w:rPr>
        <w:t>[</w:t>
      </w:r>
      <w:r>
        <w:rPr>
          <w:b/>
          <w:sz w:val="24"/>
          <w:szCs w:val="24"/>
        </w:rPr>
        <w:t>Renseignements d’ordre général sur les autres mesures et faits nouveaux concernant la mise en œuvre de la Convention dans l’État partie</w:t>
      </w:r>
      <w:r>
        <w:rPr>
          <w:rFonts w:eastAsia="Malgun Gothic"/>
          <w:b/>
          <w:color w:val="FF0000"/>
          <w:sz w:val="24"/>
          <w:szCs w:val="24"/>
          <w:lang w:eastAsia="es-ES"/>
        </w:rPr>
        <w:t>]</w:t>
      </w:r>
      <w:r>
        <w:rPr>
          <w:b/>
          <w:color w:val="FF0000"/>
          <w:sz w:val="24"/>
          <w:szCs w:val="24"/>
        </w:rPr>
        <w:t xml:space="preserve"> </w:t>
      </w:r>
      <w:r>
        <w:rPr>
          <w:rFonts w:eastAsia="Calibri"/>
          <w:b/>
          <w:color w:val="FF0000"/>
          <w:sz w:val="24"/>
          <w:szCs w:val="24"/>
        </w:rPr>
        <w:t>[</w:t>
      </w:r>
      <w:r>
        <w:rPr>
          <w:rFonts w:eastAsia="SimSun"/>
          <w:b/>
          <w:sz w:val="24"/>
          <w:szCs w:val="24"/>
        </w:rPr>
        <w:t>Renseignements d’ordre général sur la situation des droits de l’homme dans le pays, y compris sur les nouvelles mesures et les faits nouveaux concernant la mise en œuvre de la Convention</w:t>
      </w:r>
      <w:r>
        <w:rPr>
          <w:rFonts w:eastAsia="Malgun Gothic"/>
          <w:b/>
          <w:color w:val="FF0000"/>
          <w:sz w:val="24"/>
          <w:szCs w:val="24"/>
          <w:lang w:eastAsia="es-ES"/>
        </w:rPr>
        <w:t>]</w:t>
      </w:r>
    </w:p>
    <w:p w:rsidR="006A45BF" w:rsidRDefault="00DC7966">
      <w:pPr>
        <w:pStyle w:val="SingleTxtG"/>
        <w:spacing w:before="240" w:after="0"/>
        <w:jc w:val="center"/>
      </w:pPr>
      <w:r>
        <w:rPr>
          <w:color w:val="000000"/>
          <w:u w:val="single"/>
        </w:rPr>
        <w:tab/>
      </w:r>
      <w:r>
        <w:rPr>
          <w:color w:val="000000"/>
          <w:u w:val="single"/>
        </w:rPr>
        <w:tab/>
      </w:r>
      <w:r>
        <w:rPr>
          <w:color w:val="000000"/>
          <w:u w:val="single"/>
        </w:rPr>
        <w:tab/>
      </w:r>
    </w:p>
    <w:sectPr w:rsidR="006A45BF">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5BF" w:rsidRDefault="006A45BF">
      <w:pPr>
        <w:spacing w:line="240" w:lineRule="auto"/>
      </w:pPr>
    </w:p>
  </w:endnote>
  <w:endnote w:type="continuationSeparator" w:id="0">
    <w:p w:rsidR="006A45BF" w:rsidRDefault="006A45BF">
      <w:pPr>
        <w:pStyle w:val="Footer"/>
      </w:pPr>
    </w:p>
  </w:endnote>
  <w:endnote w:type="continuationNotice" w:id="1">
    <w:p w:rsidR="006A45BF" w:rsidRDefault="006A45B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5BF" w:rsidRDefault="00DC7966">
    <w:pPr>
      <w:pStyle w:val="Footer"/>
      <w:tabs>
        <w:tab w:val="right" w:pos="9639"/>
      </w:tabs>
    </w:pPr>
    <w:r>
      <w:rPr>
        <w:b/>
        <w:sz w:val="18"/>
      </w:rPr>
      <w:fldChar w:fldCharType="begin"/>
    </w:r>
    <w:r>
      <w:rPr>
        <w:b/>
        <w:sz w:val="18"/>
      </w:rPr>
      <w:instrText xml:space="preserve"> PAGE  \* MERGEFORMAT </w:instrText>
    </w:r>
    <w:r>
      <w:rPr>
        <w:b/>
        <w:sz w:val="18"/>
      </w:rPr>
      <w:fldChar w:fldCharType="separate"/>
    </w:r>
    <w:r w:rsidR="00921577">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5BF" w:rsidRDefault="00DC7966">
    <w:pPr>
      <w:pStyle w:val="Footer"/>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5BF" w:rsidRDefault="00DC7966">
    <w:pPr>
      <w:pStyle w:val="Footer"/>
      <w:spacing w:before="120"/>
      <w:rPr>
        <w:noProof/>
        <w:sz w:val="20"/>
        <w:lang w:eastAsia="fr-FR"/>
      </w:rPr>
    </w:pPr>
    <w:r>
      <w:rPr>
        <w:noProof/>
        <w:lang w:eastAsia="zh-CN"/>
      </w:rPr>
      <w:drawing>
        <wp:anchor distT="0" distB="0" distL="114300" distR="114300" simplePos="0" relativeHeight="25166438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6A45BF">
      <w:tc>
        <w:tcPr>
          <w:tcW w:w="1848" w:type="dxa"/>
          <w:vAlign w:val="bottom"/>
        </w:tcPr>
        <w:p w:rsidR="006A45BF" w:rsidRDefault="00DC7966">
          <w:pPr>
            <w:spacing w:before="120" w:after="120" w:line="240" w:lineRule="auto"/>
            <w:jc w:val="right"/>
            <w:rPr>
              <w:sz w:val="16"/>
            </w:rPr>
          </w:pPr>
          <w:r>
            <w:rPr>
              <w:noProof/>
              <w:lang w:eastAsia="zh-CN"/>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6A45BF" w:rsidRDefault="006A45BF">
          <w:pPr>
            <w:spacing w:line="240" w:lineRule="auto"/>
            <w:jc w:val="right"/>
            <w:rPr>
              <w:sz w:val="16"/>
            </w:rPr>
          </w:pPr>
        </w:p>
      </w:tc>
    </w:tr>
  </w:tbl>
  <w:p w:rsidR="006A45BF" w:rsidRDefault="00DC7966">
    <w:pPr>
      <w:pStyle w:val="Footer"/>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5BF" w:rsidRDefault="00DC7966">
      <w:pPr>
        <w:pStyle w:val="Footer"/>
        <w:tabs>
          <w:tab w:val="right" w:pos="2155"/>
        </w:tabs>
        <w:spacing w:after="80" w:line="240" w:lineRule="atLeast"/>
        <w:ind w:left="680"/>
        <w:rPr>
          <w:u w:val="single"/>
        </w:rPr>
      </w:pPr>
      <w:r>
        <w:rPr>
          <w:u w:val="single"/>
        </w:rPr>
        <w:tab/>
      </w:r>
    </w:p>
  </w:footnote>
  <w:footnote w:type="continuationSeparator" w:id="0">
    <w:p w:rsidR="006A45BF" w:rsidRDefault="00DC7966">
      <w:pPr>
        <w:pStyle w:val="Footer"/>
        <w:tabs>
          <w:tab w:val="right" w:pos="2155"/>
        </w:tabs>
        <w:spacing w:after="80" w:line="240" w:lineRule="atLeast"/>
        <w:ind w:left="680"/>
        <w:rPr>
          <w:u w:val="single"/>
        </w:rPr>
      </w:pPr>
      <w:r>
        <w:rPr>
          <w:u w:val="single"/>
        </w:rPr>
        <w:tab/>
      </w:r>
    </w:p>
  </w:footnote>
  <w:footnote w:type="continuationNotice" w:id="1">
    <w:p w:rsidR="006A45BF" w:rsidRDefault="006A45BF">
      <w:pPr>
        <w:spacing w:line="240" w:lineRule="auto"/>
        <w:rPr>
          <w:sz w:val="2"/>
          <w:szCs w:val="2"/>
        </w:rPr>
      </w:pPr>
    </w:p>
  </w:footnote>
  <w:footnote w:id="2">
    <w:p w:rsidR="006A45BF" w:rsidRDefault="00DC7966">
      <w:pPr>
        <w:pStyle w:val="FootnoteText"/>
        <w:rPr>
          <w:lang w:val="fr-FR"/>
        </w:rPr>
      </w:pPr>
      <w:r>
        <w:tab/>
      </w:r>
      <w:r>
        <w:rPr>
          <w:rStyle w:val="FootnoteReference"/>
          <w:sz w:val="20"/>
          <w:vertAlign w:val="baseline"/>
        </w:rPr>
        <w:sym w:font="Symbol" w:char="F02A"/>
      </w:r>
      <w:r>
        <w:t xml:space="preserve"> </w:t>
      </w:r>
      <w:r>
        <w:tab/>
        <w:t xml:space="preserve">Adoptée par le Comité à sa </w:t>
      </w:r>
      <w:r>
        <w:rPr>
          <w:color w:val="FF0000"/>
        </w:rPr>
        <w:t>[énième]</w:t>
      </w:r>
      <w:r>
        <w:t xml:space="preserve"> session (</w:t>
      </w:r>
      <w:r>
        <w:rPr>
          <w:color w:val="FF0000"/>
        </w:rPr>
        <w:t>dates</w:t>
      </w:r>
      <w:r>
        <w:t>).</w:t>
      </w:r>
    </w:p>
  </w:footnote>
  <w:footnote w:id="3">
    <w:p w:rsidR="006A45BF" w:rsidRDefault="00DC7966">
      <w:pPr>
        <w:pStyle w:val="FootnoteText"/>
      </w:pPr>
      <w:r>
        <w:tab/>
      </w:r>
      <w:r>
        <w:rPr>
          <w:rStyle w:val="FootnoteReference"/>
        </w:rPr>
        <w:footnoteRef/>
      </w:r>
      <w:r>
        <w:t xml:space="preserve"> </w:t>
      </w:r>
      <w:r>
        <w:tab/>
        <w:t>Sauf indication contraire, les numéros de paragraphes entre parenthèses renvoient aux précédentes observations finales du Comité</w:t>
      </w:r>
      <w:r>
        <w:rPr>
          <w:rStyle w:val="FootnoteTextChar"/>
        </w:rPr>
        <w:t>.</w:t>
      </w:r>
    </w:p>
  </w:footnote>
  <w:footnote w:id="4">
    <w:p w:rsidR="006A45BF" w:rsidRDefault="00DC7966">
      <w:pPr>
        <w:pStyle w:val="FootnoteText"/>
      </w:pPr>
      <w:r>
        <w:tab/>
      </w:r>
      <w:r>
        <w:rPr>
          <w:rStyle w:val="FootnoteReference"/>
        </w:rPr>
        <w:footnoteRef/>
      </w:r>
      <w:r>
        <w:tab/>
        <w:t xml:space="preserve">Les questions soulevées au titre de l’article 2 peuvent également l’être au titre d’autres articles de la Convention, notamment de l’article 16. Comme il est indiqué au paragraphe 3 de l’observation générale </w:t>
      </w:r>
      <w:r>
        <w:rPr>
          <w:rFonts w:eastAsia="MS Mincho"/>
        </w:rPr>
        <w:t>n</w:t>
      </w:r>
      <w:r>
        <w:rPr>
          <w:rFonts w:eastAsia="MS Mincho"/>
          <w:vertAlign w:val="superscript"/>
        </w:rPr>
        <w:t>o</w:t>
      </w:r>
      <w:r>
        <w:t> 2</w:t>
      </w:r>
      <w:r>
        <w:rPr>
          <w:color w:val="000000"/>
          <w:sz w:val="27"/>
          <w:szCs w:val="27"/>
        </w:rPr>
        <w:t xml:space="preserve"> </w:t>
      </w:r>
      <w:r>
        <w:t>du Comité sur l’application de l’article 2 par les États parties, l</w:t>
      </w:r>
      <w:r>
        <w:rPr>
          <w:lang w:val="fr-FR"/>
        </w:rPr>
        <w:t>’obligation de prévenir la torture consacrée à l’article 2 est de portée large. Cette obligation et celle de prévenir les peines ou traitements cruels, inhumains ou dégradants, énoncée au paragraphe 1 de l’article 16, sont indissociables, interdépendantes et intimement liées. L’obligation de prévenir les mauvais traitements recoupe dans la pratique celle d’empêcher que des actes de torture ne soient commis et lui est dans une large mesure équivalente. Dans la pratique, la ligne de démarcation entre les mauvais traitements et la torture est souvent floue. Voir également la partie V de cette même observation générale.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5BF" w:rsidRDefault="00DC7966">
    <w:pPr>
      <w:pStyle w:val="Header"/>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5BF" w:rsidRDefault="00DC7966">
    <w:pPr>
      <w:pStyle w:val="Header"/>
      <w:jc w:val="right"/>
    </w:pPr>
    <w:fldSimple w:instr=" DOCPROPERTY  symh  \* MERGEFORMAT ">
      <w:r>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CAA4776E"/>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02E8DC30"/>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954E37CC"/>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defaultTabStop w:val="567"/>
  <w:hyphenationZone w:val="425"/>
  <w:evenAndOddHeaders/>
  <w:characterSpacingControl w:val="doNotCompress"/>
  <w:hdrShapeDefaults>
    <o:shapedefaults v:ext="edit" spidmax="5324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5BF"/>
    <w:rsid w:val="006A45BF"/>
    <w:rsid w:val="00793BB7"/>
    <w:rsid w:val="00921577"/>
    <w:rsid w:val="00DC7966"/>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pPr>
      <w:keepNext/>
      <w:keepLines/>
      <w:spacing w:after="0" w:line="240" w:lineRule="auto"/>
      <w:ind w:right="0"/>
      <w:jc w:val="left"/>
      <w:outlineLvl w:val="0"/>
    </w:pPr>
  </w:style>
  <w:style w:type="paragraph" w:styleId="Heading2">
    <w:name w:val="heading 2"/>
    <w:basedOn w:val="Normal"/>
    <w:next w:val="Normal"/>
    <w:link w:val="Heading2Char"/>
    <w:semiHidden/>
    <w:qFormat/>
    <w:pPr>
      <w:outlineLvl w:val="1"/>
    </w:pPr>
  </w:style>
  <w:style w:type="paragraph" w:styleId="Heading3">
    <w:name w:val="heading 3"/>
    <w:basedOn w:val="Normal"/>
    <w:next w:val="Normal"/>
    <w:link w:val="Heading3Char"/>
    <w:semiHidden/>
    <w:qFormat/>
    <w:pPr>
      <w:outlineLvl w:val="2"/>
    </w:pPr>
  </w:style>
  <w:style w:type="paragraph" w:styleId="Heading4">
    <w:name w:val="heading 4"/>
    <w:basedOn w:val="Normal"/>
    <w:next w:val="Normal"/>
    <w:link w:val="Heading4Char"/>
    <w:semiHidden/>
    <w:qFormat/>
    <w:pPr>
      <w:outlineLvl w:val="3"/>
    </w:pPr>
  </w:style>
  <w:style w:type="paragraph" w:styleId="Heading5">
    <w:name w:val="heading 5"/>
    <w:basedOn w:val="Normal"/>
    <w:next w:val="Normal"/>
    <w:link w:val="Heading5Char"/>
    <w:semiHidden/>
    <w:qFormat/>
    <w:pPr>
      <w:outlineLvl w:val="4"/>
    </w:pPr>
  </w:style>
  <w:style w:type="paragraph" w:styleId="Heading6">
    <w:name w:val="heading 6"/>
    <w:basedOn w:val="Normal"/>
    <w:next w:val="Normal"/>
    <w:link w:val="Heading6Char"/>
    <w:semiHidden/>
    <w:qFormat/>
    <w:pPr>
      <w:outlineLvl w:val="5"/>
    </w:pPr>
  </w:style>
  <w:style w:type="paragraph" w:styleId="Heading7">
    <w:name w:val="heading 7"/>
    <w:basedOn w:val="Normal"/>
    <w:next w:val="Normal"/>
    <w:link w:val="Heading7Char"/>
    <w:semiHidden/>
    <w:qFormat/>
    <w:pPr>
      <w:outlineLvl w:val="6"/>
    </w:pPr>
  </w:style>
  <w:style w:type="paragraph" w:styleId="Heading8">
    <w:name w:val="heading 8"/>
    <w:basedOn w:val="Normal"/>
    <w:next w:val="Normal"/>
    <w:link w:val="Heading8Char"/>
    <w:semiHidden/>
    <w:qFormat/>
    <w:pPr>
      <w:outlineLvl w:val="7"/>
    </w:pPr>
  </w:style>
  <w:style w:type="paragraph" w:styleId="Heading9">
    <w:name w:val="heading 9"/>
    <w:basedOn w:val="Normal"/>
    <w:next w:val="Normal"/>
    <w:link w:val="Heading9Char"/>
    <w:semiHidden/>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Pr>
      <w:rFonts w:ascii="Times New Roman" w:hAnsi="Times New Roman" w:cs="Times New Roman"/>
      <w:b/>
      <w:sz w:val="18"/>
      <w:szCs w:val="20"/>
    </w:rPr>
  </w:style>
  <w:style w:type="paragraph" w:styleId="Footer">
    <w:name w:val="footer"/>
    <w:aliases w:val="3_G"/>
    <w:basedOn w:val="Normal"/>
    <w:next w:val="Normal"/>
    <w:link w:val="FooterChar"/>
    <w:qFormat/>
    <w:pPr>
      <w:spacing w:line="240" w:lineRule="auto"/>
    </w:pPr>
    <w:rPr>
      <w:sz w:val="16"/>
    </w:rPr>
  </w:style>
  <w:style w:type="character" w:customStyle="1" w:styleId="FooterChar">
    <w:name w:val="Footer Char"/>
    <w:aliases w:val="3_G Char"/>
    <w:basedOn w:val="DefaultParagraphFont"/>
    <w:link w:val="Footer"/>
    <w:rPr>
      <w:rFonts w:ascii="Times New Roman" w:hAnsi="Times New Roman" w:cs="Times New Roman"/>
      <w:sz w:val="16"/>
      <w:szCs w:val="20"/>
    </w:rPr>
  </w:style>
  <w:style w:type="paragraph" w:customStyle="1" w:styleId="HMG">
    <w:name w:val="_ H __M_G"/>
    <w:basedOn w:val="Normal"/>
    <w:next w:val="Normal"/>
    <w:qFormat/>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pPr>
      <w:spacing w:after="120"/>
      <w:ind w:left="1134" w:right="1134"/>
      <w:jc w:val="both"/>
    </w:p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spacing w:after="120"/>
      <w:ind w:right="1134"/>
      <w:jc w:val="both"/>
    </w:pPr>
  </w:style>
  <w:style w:type="paragraph" w:customStyle="1" w:styleId="Bullet2G">
    <w:name w:val="_Bullet 2_G"/>
    <w:basedOn w:val="Normal"/>
    <w:qFormat/>
    <w:pPr>
      <w:numPr>
        <w:numId w:val="15"/>
      </w:numPr>
      <w:spacing w:after="120"/>
      <w:ind w:right="1134"/>
      <w:jc w:val="both"/>
    </w:pPr>
  </w:style>
  <w:style w:type="paragraph" w:customStyle="1" w:styleId="ParNoG">
    <w:name w:val="_ParNo_G"/>
    <w:basedOn w:val="Normal"/>
    <w:qFormat/>
    <w:pPr>
      <w:numPr>
        <w:numId w:val="16"/>
      </w:numPr>
      <w:tabs>
        <w:tab w:val="clear" w:pos="1701"/>
      </w:tabs>
      <w:spacing w:after="120"/>
      <w:ind w:right="1134"/>
      <w:jc w:val="both"/>
    </w:pPr>
  </w:style>
  <w:style w:type="character" w:styleId="FootnoteReference">
    <w:name w:val="footnote reference"/>
    <w:aliases w:val="4_G"/>
    <w:basedOn w:val="DefaultParagraphFont"/>
    <w:link w:val="ftrefCharCharChar"/>
    <w:qFormat/>
    <w:rPr>
      <w:rFonts w:ascii="Times New Roman" w:hAnsi="Times New Roman"/>
      <w:sz w:val="18"/>
      <w:vertAlign w:val="superscript"/>
      <w:lang w:val="fr-CH"/>
    </w:rPr>
  </w:style>
  <w:style w:type="character" w:styleId="EndnoteReference">
    <w:name w:val="endnote reference"/>
    <w:aliases w:val="1_G"/>
    <w:basedOn w:val="FootnoteReference"/>
    <w:qFormat/>
    <w:rPr>
      <w:rFonts w:ascii="Times New Roman" w:hAnsi="Times New Roman"/>
      <w:sz w:val="18"/>
      <w:vertAlign w:val="superscript"/>
      <w:lang w:val="fr-CH"/>
    </w:rPr>
  </w:style>
  <w:style w:type="table" w:styleId="TableGrid">
    <w:name w:val="Table Grid"/>
    <w:basedOn w:val="Table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Pr>
      <w:color w:val="0000FF"/>
      <w:u w:val="none"/>
    </w:rPr>
  </w:style>
  <w:style w:type="character" w:styleId="FollowedHyperlink">
    <w:name w:val="FollowedHyperlink"/>
    <w:basedOn w:val="DefaultParagraphFont"/>
    <w:unhideWhenUsed/>
    <w:rPr>
      <w:color w:val="0000FF"/>
      <w:u w:val="none"/>
    </w:rPr>
  </w:style>
  <w:style w:type="paragraph" w:styleId="FootnoteText">
    <w:name w:val="footnote text"/>
    <w:aliases w:val="5_G"/>
    <w:basedOn w:val="Normal"/>
    <w:link w:val="FootnoteTextChar"/>
    <w:qFormat/>
    <w:pPr>
      <w:tabs>
        <w:tab w:val="right" w:pos="1021"/>
      </w:tabs>
      <w:spacing w:line="220" w:lineRule="exact"/>
      <w:ind w:left="1134" w:right="1134" w:hanging="1134"/>
    </w:pPr>
    <w:rPr>
      <w:sz w:val="18"/>
    </w:rPr>
  </w:style>
  <w:style w:type="character" w:customStyle="1" w:styleId="FootnoteTextChar">
    <w:name w:val="Footnote Text Char"/>
    <w:aliases w:val="5_G Char"/>
    <w:basedOn w:val="DefaultParagraphFont"/>
    <w:link w:val="FootnoteText"/>
    <w:rPr>
      <w:rFonts w:ascii="Times New Roman" w:hAnsi="Times New Roman" w:cs="Times New Roman"/>
      <w:sz w:val="18"/>
      <w:szCs w:val="20"/>
    </w:rPr>
  </w:style>
  <w:style w:type="paragraph" w:styleId="EndnoteText">
    <w:name w:val="endnote text"/>
    <w:aliases w:val="2_G"/>
    <w:basedOn w:val="FootnoteText"/>
    <w:link w:val="EndnoteTextChar"/>
    <w:qFormat/>
  </w:style>
  <w:style w:type="character" w:customStyle="1" w:styleId="EndnoteTextChar">
    <w:name w:val="Endnote Text Char"/>
    <w:aliases w:val="2_G Char"/>
    <w:basedOn w:val="DefaultParagraphFont"/>
    <w:link w:val="EndnoteText"/>
    <w:rPr>
      <w:rFonts w:ascii="Times New Roman" w:hAnsi="Times New Roman" w:cs="Times New Roman"/>
      <w:sz w:val="18"/>
      <w:szCs w:val="20"/>
    </w:rPr>
  </w:style>
  <w:style w:type="character" w:styleId="PageNumber">
    <w:name w:val="page number"/>
    <w:aliases w:val="7_G"/>
    <w:basedOn w:val="DefaultParagraphFont"/>
    <w:qFormat/>
    <w:rPr>
      <w:rFonts w:ascii="Times New Roman" w:hAnsi="Times New Roman"/>
      <w:b/>
      <w:sz w:val="18"/>
      <w:lang w:val="fr-CH"/>
    </w:rPr>
  </w:style>
  <w:style w:type="character" w:customStyle="1" w:styleId="Heading1Char">
    <w:name w:val="Heading 1 Char"/>
    <w:aliases w:val="Table_G Char"/>
    <w:basedOn w:val="DefaultParagraphFont"/>
    <w:link w:val="Heading1"/>
    <w:rPr>
      <w:rFonts w:ascii="Times New Roman" w:hAnsi="Times New Roman" w:cs="Times New Roman"/>
      <w:sz w:val="20"/>
      <w:szCs w:val="20"/>
    </w:rPr>
  </w:style>
  <w:style w:type="character" w:customStyle="1" w:styleId="Heading2Char">
    <w:name w:val="Heading 2 Char"/>
    <w:basedOn w:val="DefaultParagraphFont"/>
    <w:link w:val="Heading2"/>
    <w:semiHidden/>
    <w:rPr>
      <w:rFonts w:ascii="Times New Roman" w:hAnsi="Times New Roman" w:cs="Times New Roman"/>
      <w:sz w:val="20"/>
      <w:szCs w:val="20"/>
    </w:rPr>
  </w:style>
  <w:style w:type="character" w:customStyle="1" w:styleId="Heading3Char">
    <w:name w:val="Heading 3 Char"/>
    <w:basedOn w:val="DefaultParagraphFont"/>
    <w:link w:val="Heading3"/>
    <w:semiHidden/>
    <w:rPr>
      <w:rFonts w:ascii="Times New Roman" w:hAnsi="Times New Roman" w:cs="Times New Roman"/>
      <w:sz w:val="20"/>
      <w:szCs w:val="20"/>
    </w:rPr>
  </w:style>
  <w:style w:type="character" w:customStyle="1" w:styleId="Heading4Char">
    <w:name w:val="Heading 4 Char"/>
    <w:basedOn w:val="DefaultParagraphFont"/>
    <w:link w:val="Heading4"/>
    <w:semiHidden/>
    <w:rPr>
      <w:rFonts w:ascii="Times New Roman" w:hAnsi="Times New Roman" w:cs="Times New Roman"/>
      <w:sz w:val="20"/>
      <w:szCs w:val="20"/>
    </w:rPr>
  </w:style>
  <w:style w:type="character" w:customStyle="1" w:styleId="Heading5Char">
    <w:name w:val="Heading 5 Char"/>
    <w:basedOn w:val="DefaultParagraphFont"/>
    <w:link w:val="Heading5"/>
    <w:semiHidden/>
    <w:rPr>
      <w:rFonts w:ascii="Times New Roman" w:hAnsi="Times New Roman" w:cs="Times New Roman"/>
      <w:sz w:val="20"/>
      <w:szCs w:val="20"/>
    </w:rPr>
  </w:style>
  <w:style w:type="character" w:customStyle="1" w:styleId="Heading6Char">
    <w:name w:val="Heading 6 Char"/>
    <w:basedOn w:val="DefaultParagraphFont"/>
    <w:link w:val="Heading6"/>
    <w:semiHidden/>
    <w:rPr>
      <w:rFonts w:ascii="Times New Roman" w:hAnsi="Times New Roman" w:cs="Times New Roman"/>
      <w:sz w:val="20"/>
      <w:szCs w:val="20"/>
    </w:rPr>
  </w:style>
  <w:style w:type="character" w:customStyle="1" w:styleId="Heading7Char">
    <w:name w:val="Heading 7 Char"/>
    <w:basedOn w:val="DefaultParagraphFont"/>
    <w:link w:val="Heading7"/>
    <w:semiHidden/>
    <w:rPr>
      <w:rFonts w:ascii="Times New Roman" w:hAnsi="Times New Roman" w:cs="Times New Roman"/>
      <w:sz w:val="20"/>
      <w:szCs w:val="20"/>
    </w:rPr>
  </w:style>
  <w:style w:type="character" w:customStyle="1" w:styleId="Heading8Char">
    <w:name w:val="Heading 8 Char"/>
    <w:basedOn w:val="DefaultParagraphFont"/>
    <w:link w:val="Heading8"/>
    <w:semiHidden/>
    <w:rPr>
      <w:rFonts w:ascii="Times New Roman" w:hAnsi="Times New Roman" w:cs="Times New Roman"/>
      <w:sz w:val="20"/>
      <w:szCs w:val="20"/>
    </w:rPr>
  </w:style>
  <w:style w:type="character" w:customStyle="1" w:styleId="Heading9Char">
    <w:name w:val="Heading 9 Char"/>
    <w:basedOn w:val="DefaultParagraphFont"/>
    <w:link w:val="Heading9"/>
    <w:semiHidden/>
    <w:rPr>
      <w:rFonts w:ascii="Times New Roman" w:hAnsi="Times New Roman" w:cs="Times New Roman"/>
      <w:sz w:val="20"/>
      <w:szCs w:val="20"/>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GB"/>
    </w:rPr>
  </w:style>
  <w:style w:type="character" w:customStyle="1" w:styleId="SingleTxtGChar">
    <w:name w:val="_ Single Txt_G Char"/>
    <w:link w:val="SingleTxtG"/>
    <w:rPr>
      <w:rFonts w:ascii="Times New Roman" w:hAnsi="Times New Roman" w:cs="Times New Roman"/>
      <w:sz w:val="20"/>
      <w:szCs w:val="20"/>
    </w:rPr>
  </w:style>
  <w:style w:type="character" w:customStyle="1" w:styleId="HChGChar">
    <w:name w:val="_ H _Ch_G Char"/>
    <w:link w:val="HChG"/>
    <w:rPr>
      <w:rFonts w:ascii="Times New Roman" w:hAnsi="Times New Roman" w:cs="Times New Roman"/>
      <w:b/>
      <w:sz w:val="28"/>
      <w:szCs w:val="20"/>
    </w:rPr>
  </w:style>
  <w:style w:type="character" w:customStyle="1" w:styleId="H1GChar">
    <w:name w:val="_ H_1_G Char"/>
    <w:link w:val="H1G"/>
    <w:locked/>
    <w:rPr>
      <w:rFonts w:ascii="Times New Roman" w:hAnsi="Times New Roman" w:cs="Times New Roman"/>
      <w:b/>
      <w:sz w:val="24"/>
      <w:szCs w:val="20"/>
    </w:rPr>
  </w:style>
  <w:style w:type="character" w:customStyle="1" w:styleId="H23GChar">
    <w:name w:val="_ H_2/3_G Char"/>
    <w:link w:val="H23G"/>
    <w:locked/>
    <w:rPr>
      <w:rFonts w:ascii="Times New Roman" w:hAnsi="Times New Roman" w:cs="Times New Roman"/>
      <w:b/>
      <w:sz w:val="20"/>
      <w:szCs w:val="20"/>
    </w:rPr>
  </w:style>
  <w:style w:type="paragraph" w:customStyle="1" w:styleId="ftrefCharCharChar">
    <w:name w:val="ftref Char Char Char"/>
    <w:aliases w:val="Heading 2 Char1 Char Char Char Char,Heading 2 Char2 Char Char Char Char Char,Heading 2 Char Char Char Char Char1 Char Char"/>
    <w:basedOn w:val="Normal"/>
    <w:link w:val="FootnoteReference"/>
    <w:pPr>
      <w:suppressAutoHyphens w:val="0"/>
      <w:spacing w:after="160" w:line="240" w:lineRule="exact"/>
    </w:pPr>
    <w:rPr>
      <w:rFonts w:cstheme="minorBidi"/>
      <w:sz w:val="18"/>
      <w:szCs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378</Words>
  <Characters>2084</Characters>
  <Application>Microsoft Office Word</Application>
  <DocSecurity>0</DocSecurity>
  <Lines>17</Lines>
  <Paragraphs>4</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a/hthhhh</vt:lpstr>
      <vt:lpstr>a/hthhhh</vt:lpstr>
      <vt:lpstr>a/hthhhh</vt:lpstr>
    </vt:vector>
  </TitlesOfParts>
  <Company>DCM</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16</cp:revision>
  <cp:lastPrinted>2017-02-27T14:31:00Z</cp:lastPrinted>
  <dcterms:created xsi:type="dcterms:W3CDTF">2017-04-25T11:28:00Z</dcterms:created>
  <dcterms:modified xsi:type="dcterms:W3CDTF">2018-06-05T09:58:00Z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ies>
</file>