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29 (1)</w:t>
      </w:r>
      <w:bookmarkStart w:id="0" w:name="_GoBack"/>
      <w:bookmarkEnd w:id="0"/>
      <w:r>
        <w:t xml:space="preserve"> of the Convention</w:t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HChG"/>
      </w:pPr>
      <w:r>
        <w:tab/>
        <w:t>I.</w:t>
      </w:r>
      <w:r>
        <w:tab/>
        <w:t>General information</w:t>
      </w:r>
    </w:p>
    <w:p>
      <w:pPr>
        <w:pStyle w:val="HChG"/>
      </w:pPr>
      <w:r>
        <w:tab/>
        <w:t>II.</w:t>
      </w:r>
      <w:r>
        <w:tab/>
        <w:t>Definition and criminalization of enforced disappearance (arts. 1-7)</w:t>
      </w:r>
    </w:p>
    <w:p>
      <w:pPr>
        <w:pStyle w:val="HChG"/>
      </w:pPr>
      <w:r>
        <w:tab/>
        <w:t>III.</w:t>
      </w:r>
      <w:r>
        <w:tab/>
        <w:t xml:space="preserve">Judicial procedure and cooperation in criminal matters </w:t>
      </w:r>
      <w:r>
        <w:br/>
        <w:t>(arts. 8-15)</w:t>
      </w:r>
    </w:p>
    <w:p>
      <w:pPr>
        <w:pStyle w:val="HChG"/>
      </w:pPr>
      <w:r>
        <w:tab/>
        <w:t>IV.</w:t>
      </w:r>
      <w:r>
        <w:tab/>
        <w:t>Measures to prevent enforced disappearances (arts. 16-23)</w:t>
      </w:r>
    </w:p>
    <w:p>
      <w:pPr>
        <w:pStyle w:val="HChG"/>
      </w:pPr>
      <w:r>
        <w:tab/>
        <w:t>V.</w:t>
      </w:r>
      <w:r>
        <w:tab/>
        <w:t>Measures to provide reparation and to protect children against enforced disappearance (arts. 24-25)</w:t>
      </w:r>
    </w:p>
    <w:p>
      <w:pPr>
        <w:pStyle w:val="SingleTxtG"/>
      </w:pPr>
    </w:p>
    <w:sectPr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line="240" w:lineRule="auto"/>
      </w:pPr>
    </w:p>
  </w:endnote>
  <w:endnote w:type="continuationSeparator" w:id="0">
    <w:p>
      <w:pPr>
        <w:pStyle w:val="Pieddepage"/>
      </w:pPr>
    </w:p>
  </w:endnote>
  <w:endnote w:type="continuationNotice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val="fr-FR" w:eastAsia="fr-FR"/>
      </w:rPr>
    </w:pPr>
    <w:r>
      <w:rPr>
        <w:noProof/>
        <w:lang w:val="fr-CH" w:eastAsia="zh-CN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spacing w:line="240" w:lineRule="auto"/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tab/>
        <w:t xml:space="preserve">Adopted by the Committee at its </w:t>
      </w:r>
      <w:r>
        <w:rPr>
          <w:color w:val="FF0000"/>
        </w:rPr>
        <w:t>number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567"/>
  <w:hyphenationZone w:val="425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  <w:lang w:val="en-GB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2017-04-21T12:16:00Z</cp:lastPrinted>
  <dcterms:created xsi:type="dcterms:W3CDTF">2017-10-30T15:43:00Z</dcterms:created>
  <dcterms:modified xsi:type="dcterms:W3CDTF">2018-03-19T14:51:00Z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