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trPr>
          <w:cantSplit/>
          <w:trHeight w:hRule="exact" w:val="851"/>
        </w:trPr>
        <w:tc>
          <w:tcPr>
            <w:tcW w:w="1276" w:type="dxa"/>
            <w:tcBorders>
              <w:bottom w:val="single" w:sz="4" w:space="0" w:color="auto"/>
            </w:tcBorders>
            <w:vAlign w:val="bottom"/>
          </w:tcPr>
          <w:p>
            <w:pPr>
              <w:spacing w:after="80"/>
            </w:pPr>
          </w:p>
        </w:tc>
        <w:tc>
          <w:tcPr>
            <w:tcW w:w="2268" w:type="dxa"/>
            <w:tcBorders>
              <w:bottom w:val="single" w:sz="4" w:space="0" w:color="auto"/>
            </w:tcBorders>
            <w:vAlign w:val="bottom"/>
          </w:tcPr>
          <w:p>
            <w:pPr>
              <w:spacing w:after="80" w:line="300" w:lineRule="exact"/>
              <w:rPr>
                <w:b/>
                <w:sz w:val="24"/>
                <w:szCs w:val="24"/>
              </w:rPr>
            </w:pPr>
            <w:r>
              <w:rPr>
                <w:sz w:val="28"/>
                <w:szCs w:val="28"/>
              </w:rPr>
              <w:t>United Nations</w:t>
            </w:r>
          </w:p>
        </w:tc>
        <w:tc>
          <w:tcPr>
            <w:tcW w:w="6095" w:type="dxa"/>
            <w:gridSpan w:val="2"/>
            <w:tcBorders>
              <w:bottom w:val="single" w:sz="4" w:space="0" w:color="auto"/>
            </w:tcBorders>
            <w:vAlign w:val="bottom"/>
          </w:tcPr>
          <w:p>
            <w:pPr>
              <w:suppressAutoHyphens w:val="0"/>
              <w:spacing w:after="20"/>
              <w:jc w:val="right"/>
            </w:pPr>
            <w:proofErr w:type="spellStart"/>
            <w:r>
              <w:rPr>
                <w:sz w:val="40"/>
              </w:rPr>
              <w:t>CEDAW</w:t>
            </w:r>
            <w:proofErr w:type="spellEnd"/>
            <w:r>
              <w:t>/</w:t>
            </w:r>
            <w:proofErr w:type="spellStart"/>
            <w:r>
              <w:fldChar w:fldCharType="begin"/>
            </w:r>
            <w:r>
              <w:instrText xml:space="preserve"> DOCPROPERTY  sym1  \* MERGEFORMAT </w:instrText>
            </w:r>
            <w:r>
              <w:fldChar w:fldCharType="separate"/>
            </w:r>
            <w:r>
              <w:t>sym1</w:t>
            </w:r>
            <w:proofErr w:type="spellEnd"/>
            <w:r>
              <w:fldChar w:fldCharType="end"/>
            </w:r>
          </w:p>
        </w:tc>
      </w:tr>
      <w:tr>
        <w:trPr>
          <w:cantSplit/>
          <w:trHeight w:hRule="exact" w:val="2835"/>
        </w:trPr>
        <w:tc>
          <w:tcPr>
            <w:tcW w:w="1276" w:type="dxa"/>
            <w:tcBorders>
              <w:top w:val="single" w:sz="4" w:space="0" w:color="auto"/>
              <w:bottom w:val="single" w:sz="12" w:space="0" w:color="auto"/>
            </w:tcBorders>
          </w:tcPr>
          <w:p>
            <w:pPr>
              <w:spacing w:before="120"/>
              <w:jc w:val="center"/>
            </w:pPr>
            <w:r>
              <w:rPr>
                <w:noProof/>
                <w:lang w:val="fr-CH" w:eastAsia="zh-CN"/>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pPr>
              <w:spacing w:before="120" w:line="380" w:lineRule="exact"/>
              <w:rPr>
                <w:b/>
                <w:sz w:val="34"/>
                <w:szCs w:val="40"/>
              </w:rPr>
            </w:pPr>
            <w:r>
              <w:rPr>
                <w:b/>
                <w:sz w:val="34"/>
                <w:szCs w:val="40"/>
              </w:rPr>
              <w:t>Convention on the Elimination</w:t>
            </w:r>
            <w:r>
              <w:rPr>
                <w:b/>
                <w:sz w:val="34"/>
                <w:szCs w:val="40"/>
              </w:rPr>
              <w:br/>
              <w:t>of All Forms of Discrimination</w:t>
            </w:r>
            <w:r>
              <w:rPr>
                <w:b/>
                <w:sz w:val="34"/>
                <w:szCs w:val="40"/>
              </w:rPr>
              <w:br/>
              <w:t>against Women</w:t>
            </w:r>
          </w:p>
        </w:tc>
        <w:tc>
          <w:tcPr>
            <w:tcW w:w="2835" w:type="dxa"/>
            <w:tcBorders>
              <w:top w:val="single" w:sz="4" w:space="0" w:color="auto"/>
              <w:bottom w:val="single" w:sz="12" w:space="0" w:color="auto"/>
            </w:tcBorders>
          </w:tcPr>
          <w:p>
            <w:pPr>
              <w:suppressAutoHyphens w:val="0"/>
              <w:spacing w:before="240" w:line="240" w:lineRule="exact"/>
            </w:pPr>
            <w:r>
              <w:t xml:space="preserve">Distr.: </w:t>
            </w:r>
            <w:r>
              <w:fldChar w:fldCharType="begin"/>
            </w:r>
            <w:r>
              <w:instrText xml:space="preserve"> DOCPROPERTY  dist  \* MERGEFORMAT </w:instrText>
            </w:r>
            <w:r>
              <w:fldChar w:fldCharType="separate"/>
            </w:r>
            <w:proofErr w:type="spellStart"/>
            <w:r>
              <w:t>Dist</w:t>
            </w:r>
            <w:proofErr w:type="spellEnd"/>
            <w:r>
              <w:fldChar w:fldCharType="end"/>
            </w:r>
          </w:p>
          <w:p>
            <w:pPr>
              <w:suppressAutoHyphens w:val="0"/>
            </w:pPr>
            <w:fldSimple w:instr=" DOCPROPERTY  date  \* MERGEFORMAT ">
              <w:r>
                <w:t>date</w:t>
              </w:r>
            </w:fldSimple>
          </w:p>
          <w:p>
            <w:pPr>
              <w:suppressAutoHyphens w:val="0"/>
            </w:pPr>
            <w:r>
              <w:fldChar w:fldCharType="begin"/>
            </w:r>
            <w:r>
              <w:instrText xml:space="preserve"> DOCPROPERTY  tlang  \* MERGEFORMAT </w:instrText>
            </w:r>
            <w:r>
              <w:fldChar w:fldCharType="separate"/>
            </w:r>
            <w:proofErr w:type="spellStart"/>
            <w:r>
              <w:t>tlang</w:t>
            </w:r>
            <w:proofErr w:type="spellEnd"/>
            <w:r>
              <w:fldChar w:fldCharType="end"/>
            </w:r>
          </w:p>
          <w:p>
            <w:pPr>
              <w:suppressAutoHyphens w:val="0"/>
            </w:pPr>
            <w:r>
              <w:t xml:space="preserve">Original: </w:t>
            </w:r>
            <w:r>
              <w:fldChar w:fldCharType="begin"/>
            </w:r>
            <w:r>
              <w:instrText xml:space="preserve"> DOCPROPERTY  olang  \* MERGEFORMAT </w:instrText>
            </w:r>
            <w:r>
              <w:fldChar w:fldCharType="separate"/>
            </w:r>
            <w:proofErr w:type="spellStart"/>
            <w:r>
              <w:t>olang</w:t>
            </w:r>
            <w:proofErr w:type="spellEnd"/>
            <w:r>
              <w:fldChar w:fldCharType="end"/>
            </w:r>
          </w:p>
          <w:p>
            <w:pPr>
              <w:suppressAutoHyphens w:val="0"/>
            </w:pPr>
            <w:r>
              <w:fldChar w:fldCharType="begin"/>
            </w:r>
            <w:r>
              <w:instrText xml:space="preserve"> DOCPROPERTY  virs  \* MERGEFORMAT </w:instrText>
            </w:r>
            <w:r>
              <w:fldChar w:fldCharType="separate"/>
            </w:r>
            <w:proofErr w:type="spellStart"/>
            <w:r>
              <w:t>virs</w:t>
            </w:r>
            <w:proofErr w:type="spellEnd"/>
            <w:r>
              <w:fldChar w:fldCharType="end"/>
            </w:r>
          </w:p>
        </w:tc>
      </w:tr>
    </w:tbl>
    <w:p>
      <w:pPr>
        <w:spacing w:before="120"/>
        <w:rPr>
          <w:b/>
          <w:sz w:val="24"/>
          <w:szCs w:val="24"/>
        </w:rPr>
      </w:pPr>
      <w:r>
        <w:rPr>
          <w:b/>
          <w:sz w:val="24"/>
          <w:szCs w:val="24"/>
        </w:rPr>
        <w:t xml:space="preserve">Committee on the Elimination of Discrimination </w:t>
      </w:r>
      <w:r>
        <w:rPr>
          <w:b/>
          <w:sz w:val="24"/>
          <w:szCs w:val="24"/>
        </w:rPr>
        <w:br/>
      </w:r>
      <w:bookmarkStart w:id="0" w:name="_GoBack"/>
      <w:bookmarkEnd w:id="0"/>
      <w:r>
        <w:rPr>
          <w:b/>
          <w:sz w:val="24"/>
          <w:szCs w:val="24"/>
        </w:rPr>
        <w:t>against Women</w:t>
      </w:r>
    </w:p>
    <w:p>
      <w:pPr>
        <w:pStyle w:val="HChG"/>
      </w:pPr>
      <w:r>
        <w:tab/>
      </w:r>
      <w:r>
        <w:tab/>
        <w:t xml:space="preserve">Concluding observations on the </w:t>
      </w:r>
      <w:fldSimple w:instr=" DOCPROPERTY  prep  \* MERGEFORMAT ">
        <w:r>
          <w:t>prep</w:t>
        </w:r>
      </w:fldSimple>
      <w:r>
        <w:rPr>
          <w:rStyle w:val="Appelnotedebasdep"/>
          <w:b w:val="0"/>
          <w:bCs/>
          <w:sz w:val="20"/>
          <w:vertAlign w:val="baseline"/>
        </w:rPr>
        <w:footnoteReference w:customMarkFollows="1" w:id="2"/>
        <w:t>*</w:t>
      </w:r>
    </w:p>
    <w:p>
      <w:pPr>
        <w:pStyle w:val="SingleTxtG"/>
      </w:pPr>
      <w:r>
        <w:t>1.</w:t>
      </w:r>
      <w:r>
        <w:tab/>
        <w:t xml:space="preserve">The Committee considered the </w:t>
      </w:r>
      <w:r>
        <w:rPr>
          <w:color w:val="FF0000"/>
        </w:rPr>
        <w:t>[initial] [combined number periodic] [number periodic]</w:t>
      </w:r>
      <w:r>
        <w:t xml:space="preserve"> report</w:t>
      </w:r>
      <w:r>
        <w:rPr>
          <w:color w:val="FF0000"/>
        </w:rPr>
        <w:t>s</w:t>
      </w:r>
      <w:r>
        <w:t xml:space="preserve"> of </w:t>
      </w:r>
      <w:r>
        <w:rPr>
          <w:color w:val="FF0000"/>
        </w:rPr>
        <w:t>country</w:t>
      </w:r>
      <w:r>
        <w:t xml:space="preserve"> (</w:t>
      </w:r>
      <w:proofErr w:type="spellStart"/>
      <w:r>
        <w:t>CEDAW</w:t>
      </w:r>
      <w:proofErr w:type="spellEnd"/>
      <w:r>
        <w:t>/C/</w:t>
      </w:r>
      <w:r>
        <w:rPr>
          <w:color w:val="FF0000"/>
        </w:rPr>
        <w:t>XXX</w:t>
      </w:r>
      <w:r>
        <w:t>/</w:t>
      </w:r>
      <w:r>
        <w:rPr>
          <w:color w:val="FF0000"/>
        </w:rPr>
        <w:t>Y</w:t>
      </w:r>
      <w:r>
        <w:t xml:space="preserve">) at its </w:t>
      </w:r>
      <w:r>
        <w:rPr>
          <w:color w:val="FF0000"/>
        </w:rPr>
        <w:t>number</w:t>
      </w:r>
      <w:r>
        <w:t xml:space="preserve"> and </w:t>
      </w:r>
      <w:r>
        <w:rPr>
          <w:color w:val="FF0000"/>
        </w:rPr>
        <w:t>number</w:t>
      </w:r>
      <w:r>
        <w:t xml:space="preserve"> meetings (see </w:t>
      </w:r>
      <w:proofErr w:type="spellStart"/>
      <w:r>
        <w:t>CEDAW</w:t>
      </w:r>
      <w:proofErr w:type="spellEnd"/>
      <w:r>
        <w:t>/C/</w:t>
      </w:r>
      <w:proofErr w:type="spellStart"/>
      <w:r>
        <w:t>SR.</w:t>
      </w:r>
      <w:r>
        <w:rPr>
          <w:color w:val="FF0000"/>
        </w:rPr>
        <w:t>XXX</w:t>
      </w:r>
      <w:proofErr w:type="spellEnd"/>
      <w:r>
        <w:t xml:space="preserve"> and </w:t>
      </w:r>
      <w:r>
        <w:rPr>
          <w:color w:val="FF0000"/>
        </w:rPr>
        <w:t>XXX</w:t>
      </w:r>
      <w:r>
        <w:t xml:space="preserve">), held on </w:t>
      </w:r>
      <w:r>
        <w:rPr>
          <w:color w:val="FF0000"/>
        </w:rPr>
        <w:t>date</w:t>
      </w:r>
      <w:r>
        <w:t xml:space="preserve"> and </w:t>
      </w:r>
      <w:r>
        <w:rPr>
          <w:color w:val="FF0000"/>
        </w:rPr>
        <w:t>date</w:t>
      </w:r>
      <w:r>
        <w:t xml:space="preserve">. </w:t>
      </w:r>
      <w:r>
        <w:rPr>
          <w:b/>
          <w:bCs/>
          <w:highlight w:val="yellow"/>
        </w:rPr>
        <w:t>[[Following sentence not included in concluding observations on State party reports prepared on the basis of a list of issues prior to reporting:]]</w:t>
      </w:r>
      <w:r>
        <w:t xml:space="preserve">The Committee’s list of issues and questions is contained in </w:t>
      </w:r>
      <w:proofErr w:type="spellStart"/>
      <w:r>
        <w:t>CEDAW</w:t>
      </w:r>
      <w:proofErr w:type="spellEnd"/>
      <w:r>
        <w:t>/C/</w:t>
      </w:r>
      <w:r>
        <w:rPr>
          <w:color w:val="FF0000"/>
        </w:rPr>
        <w:t>XXX</w:t>
      </w:r>
      <w:r>
        <w:t>/Q/</w:t>
      </w:r>
      <w:r>
        <w:rPr>
          <w:color w:val="FF0000"/>
        </w:rPr>
        <w:t>Y</w:t>
      </w:r>
      <w:r>
        <w:t xml:space="preserve"> and the responses of </w:t>
      </w:r>
      <w:r>
        <w:rPr>
          <w:color w:val="FF0000"/>
        </w:rPr>
        <w:t>country</w:t>
      </w:r>
      <w:r>
        <w:t xml:space="preserve"> are contained in </w:t>
      </w:r>
      <w:proofErr w:type="spellStart"/>
      <w:r>
        <w:t>CEDAW</w:t>
      </w:r>
      <w:proofErr w:type="spellEnd"/>
      <w:r>
        <w:t>/C/</w:t>
      </w:r>
      <w:r>
        <w:rPr>
          <w:color w:val="FF0000"/>
        </w:rPr>
        <w:t>XXX</w:t>
      </w:r>
      <w:r>
        <w:t>/Q/</w:t>
      </w:r>
      <w:r>
        <w:rPr>
          <w:color w:val="FF0000"/>
        </w:rPr>
        <w:t>Y</w:t>
      </w:r>
      <w:r>
        <w:t>/</w:t>
      </w:r>
      <w:proofErr w:type="spellStart"/>
      <w:r>
        <w:t>Add.1</w:t>
      </w:r>
      <w:proofErr w:type="spellEnd"/>
      <w:r>
        <w:t>.</w:t>
      </w:r>
    </w:p>
    <w:p>
      <w:pPr>
        <w:pStyle w:val="H1G"/>
      </w:pPr>
      <w:r>
        <w:tab/>
        <w:t>A.</w:t>
      </w:r>
      <w:r>
        <w:tab/>
        <w:t>Introduction</w:t>
      </w:r>
    </w:p>
    <w:p>
      <w:pPr>
        <w:pStyle w:val="SingleTxtG"/>
      </w:pPr>
      <w:r>
        <w:rPr>
          <w:color w:val="FF0000"/>
        </w:rPr>
        <w:t>[</w:t>
      </w:r>
      <w:r>
        <w:t>2.</w:t>
      </w:r>
      <w:r>
        <w:tab/>
      </w:r>
      <w:r>
        <w:rPr>
          <w:b/>
          <w:bCs/>
          <w:highlight w:val="yellow"/>
        </w:rPr>
        <w:t>[[For concluding observations on State party reports prepared on the basis of a list of issues:]]</w:t>
      </w:r>
      <w:r>
        <w:t xml:space="preserve">The Committee appreciates the submission by the State party of its </w:t>
      </w:r>
      <w:r>
        <w:rPr>
          <w:color w:val="FF0000"/>
        </w:rPr>
        <w:t>[initial] [combined number periodic] [number periodic]</w:t>
      </w:r>
      <w:r>
        <w:t xml:space="preserve"> report</w:t>
      </w:r>
      <w:r>
        <w:rPr>
          <w:color w:val="FF0000"/>
        </w:rPr>
        <w:t>s</w:t>
      </w:r>
      <w:r>
        <w:t>. It also appreciates the State party’s written replies to the list of issues and questions raised by the pre-sessional working group and welcomes the oral presentation by the delegation and the further clarifications provided in response to the questions posed orally by the Committee during the dialogue.</w:t>
      </w:r>
      <w:r>
        <w:rPr>
          <w:color w:val="FF0000"/>
        </w:rPr>
        <w:t>]</w:t>
      </w:r>
    </w:p>
    <w:p>
      <w:pPr>
        <w:pStyle w:val="SingleTxtG"/>
      </w:pPr>
      <w:r>
        <w:rPr>
          <w:color w:val="FF0000"/>
        </w:rPr>
        <w:t>[</w:t>
      </w:r>
      <w:r>
        <w:t>2.</w:t>
      </w:r>
      <w:r>
        <w:tab/>
      </w:r>
      <w:r>
        <w:rPr>
          <w:b/>
          <w:bCs/>
          <w:highlight w:val="yellow"/>
        </w:rPr>
        <w:t>[[For concluding observations on State party reports prepared on the basis of a list of issues prior to reporting:]]</w:t>
      </w:r>
      <w:r>
        <w:t xml:space="preserve">The Committee appreciates the submission by the State party of its </w:t>
      </w:r>
      <w:r>
        <w:rPr>
          <w:color w:val="FF0000"/>
        </w:rPr>
        <w:t xml:space="preserve">[initial] [combined number periodic] [number periodic] </w:t>
      </w:r>
      <w:r>
        <w:t>report</w:t>
      </w:r>
      <w:r>
        <w:rPr>
          <w:color w:val="FF0000"/>
        </w:rPr>
        <w:t>s</w:t>
      </w:r>
      <w:r>
        <w:t>, which was prepared in response to the list of issues prior to reporting (</w:t>
      </w:r>
      <w:proofErr w:type="spellStart"/>
      <w:r>
        <w:t>CEDAW</w:t>
      </w:r>
      <w:proofErr w:type="spellEnd"/>
      <w:r>
        <w:t>/C/</w:t>
      </w:r>
      <w:r>
        <w:rPr>
          <w:color w:val="FF0000"/>
        </w:rPr>
        <w:t>XXX</w:t>
      </w:r>
      <w:r>
        <w:t>/</w:t>
      </w:r>
      <w:proofErr w:type="spellStart"/>
      <w:r>
        <w:t>QPR</w:t>
      </w:r>
      <w:proofErr w:type="spellEnd"/>
      <w:r>
        <w:t>/</w:t>
      </w:r>
      <w:r>
        <w:rPr>
          <w:color w:val="FF0000"/>
        </w:rPr>
        <w:t>Y</w:t>
      </w:r>
      <w:r>
        <w:t>). It welcomes the oral presentation by the delegation and the further clarifications provided in response to the questions posed orally by the Committee during the dialogue.</w:t>
      </w:r>
      <w:r>
        <w:rPr>
          <w:color w:val="FF0000"/>
        </w:rPr>
        <w:t>]</w:t>
      </w:r>
    </w:p>
    <w:p>
      <w:pPr>
        <w:pStyle w:val="SingleTxtG"/>
      </w:pPr>
      <w:r>
        <w:t>3.</w:t>
      </w:r>
      <w:r>
        <w:tab/>
        <w:t xml:space="preserve">The Committee commends the State party’s high-level delegation, which was headed by </w:t>
      </w:r>
      <w:r>
        <w:rPr>
          <w:color w:val="FF0000"/>
        </w:rPr>
        <w:t>title of head of delegation</w:t>
      </w:r>
      <w:r>
        <w:t xml:space="preserve">, </w:t>
      </w:r>
      <w:r>
        <w:rPr>
          <w:color w:val="FF0000"/>
        </w:rPr>
        <w:t>name</w:t>
      </w:r>
      <w:r>
        <w:t xml:space="preserve">. The delegation also included representatives of </w:t>
      </w:r>
      <w:r>
        <w:rPr>
          <w:color w:val="FF0000"/>
        </w:rPr>
        <w:t>…</w:t>
      </w:r>
      <w:r>
        <w:t xml:space="preserve"> and the Permanent Mission of </w:t>
      </w:r>
      <w:r>
        <w:rPr>
          <w:color w:val="FF0000"/>
        </w:rPr>
        <w:t>country</w:t>
      </w:r>
      <w:r>
        <w:t xml:space="preserve"> to the United Nations Office and other international organizations in Geneva.</w:t>
      </w:r>
    </w:p>
    <w:p>
      <w:pPr>
        <w:pStyle w:val="H1G"/>
      </w:pPr>
      <w:r>
        <w:tab/>
        <w:t>B.</w:t>
      </w:r>
      <w:r>
        <w:tab/>
        <w:t xml:space="preserve">Positive aspects </w:t>
      </w:r>
    </w:p>
    <w:p>
      <w:pPr>
        <w:pStyle w:val="H1G"/>
      </w:pPr>
      <w:r>
        <w:tab/>
        <w:t>C.</w:t>
      </w:r>
      <w:r>
        <w:tab/>
        <w:t>Parliament</w:t>
      </w:r>
    </w:p>
    <w:p>
      <w:pPr>
        <w:pStyle w:val="SingleTxtG"/>
        <w:rPr>
          <w:b/>
          <w:bCs/>
        </w:rPr>
      </w:pPr>
      <w:r>
        <w:t>7.</w:t>
      </w:r>
      <w:r>
        <w:tab/>
      </w:r>
      <w:r>
        <w:rPr>
          <w:b/>
          <w:bCs/>
        </w:rPr>
        <w:t xml:space="preserve">The Committee stresses the crucial role of the legislative power in ensuring the full implementation of the Convention (see the statement by the Committee on its relationship with parliamentarians, adopted at the forty-fifth session, in 2010). It invites </w:t>
      </w:r>
      <w:r>
        <w:rPr>
          <w:b/>
          <w:bCs/>
          <w:color w:val="FF0000"/>
        </w:rPr>
        <w:t>[the parliament] [Parliament]</w:t>
      </w:r>
      <w:r>
        <w:rPr>
          <w:b/>
          <w:bCs/>
        </w:rPr>
        <w:t xml:space="preserve">, in line with its mandate, to take the necessary </w:t>
      </w:r>
      <w:r>
        <w:rPr>
          <w:b/>
          <w:bCs/>
        </w:rPr>
        <w:lastRenderedPageBreak/>
        <w:t>steps regarding the implementation of the present concluding observations between now and the next reporting period under the Convention.</w:t>
      </w:r>
    </w:p>
    <w:p>
      <w:pPr>
        <w:pStyle w:val="H1G"/>
      </w:pPr>
      <w:r>
        <w:tab/>
        <w:t>D.</w:t>
      </w:r>
      <w:r>
        <w:tab/>
        <w:t xml:space="preserve">Principal areas of concern and recommendations </w:t>
      </w:r>
      <w:r>
        <w:rPr>
          <w:highlight w:val="yellow"/>
        </w:rPr>
        <w:t>[[Not all standard language set out below is included in all concluding observations.]]</w:t>
      </w:r>
    </w:p>
    <w:p>
      <w:pPr>
        <w:pStyle w:val="H23G"/>
      </w:pPr>
      <w:r>
        <w:tab/>
      </w:r>
      <w:r>
        <w:tab/>
        <w:t>Optional Protocol to the Convention and amendment to article 20 (1) of the Convention</w:t>
      </w:r>
    </w:p>
    <w:p>
      <w:pPr>
        <w:pStyle w:val="SingleTxtG"/>
        <w:rPr>
          <w:b/>
          <w:bCs/>
        </w:rPr>
      </w:pPr>
      <w:r>
        <w:t>42.</w:t>
      </w:r>
      <w:r>
        <w:tab/>
      </w:r>
      <w:r>
        <w:rPr>
          <w:b/>
          <w:bCs/>
        </w:rPr>
        <w:t>The Committee encourages the State party to ratify the Optional Protocol to the Convention and to accept, as soon as possible, the amendment to article 20 (1) of the Convention concerning the meeting time of the Committee.</w:t>
      </w:r>
    </w:p>
    <w:p>
      <w:pPr>
        <w:pStyle w:val="H23G"/>
      </w:pPr>
      <w:r>
        <w:tab/>
      </w:r>
      <w:r>
        <w:tab/>
        <w:t xml:space="preserve">Beijing Declaration and Platform for Action </w:t>
      </w:r>
    </w:p>
    <w:p>
      <w:pPr>
        <w:pStyle w:val="SingleTxtG"/>
        <w:rPr>
          <w:b/>
          <w:bCs/>
        </w:rPr>
      </w:pPr>
      <w:r>
        <w:t>43.</w:t>
      </w:r>
      <w:r>
        <w:tab/>
      </w:r>
      <w:r>
        <w:rPr>
          <w:b/>
          <w:bCs/>
        </w:rPr>
        <w:t>The Committee calls upon the State party to use the Beijing Declaration and Platform for Action in its efforts to implement the provisions of the Convention.</w:t>
      </w:r>
    </w:p>
    <w:p>
      <w:pPr>
        <w:pStyle w:val="H23G"/>
      </w:pPr>
      <w:r>
        <w:tab/>
      </w:r>
      <w:r>
        <w:tab/>
        <w:t xml:space="preserve">2030 Agenda for Sustainable Development </w:t>
      </w:r>
    </w:p>
    <w:p>
      <w:pPr>
        <w:pStyle w:val="SingleTxtG"/>
        <w:rPr>
          <w:b/>
          <w:bCs/>
        </w:rPr>
      </w:pPr>
      <w:r>
        <w:t>44.</w:t>
      </w:r>
      <w:r>
        <w:tab/>
      </w:r>
      <w:r>
        <w:rPr>
          <w:b/>
          <w:bCs/>
        </w:rPr>
        <w:t>The Committee calls for the realization of substantive gender equality, in accordance with the provisions of the Convention, throughout the process of implementation of the 2030 Agenda for Sustainable Development.</w:t>
      </w:r>
    </w:p>
    <w:p>
      <w:pPr>
        <w:pStyle w:val="H23G"/>
      </w:pPr>
      <w:r>
        <w:tab/>
      </w:r>
      <w:r>
        <w:tab/>
        <w:t>Dissemination</w:t>
      </w:r>
    </w:p>
    <w:p>
      <w:pPr>
        <w:pStyle w:val="SingleTxtG"/>
        <w:rPr>
          <w:b/>
          <w:bCs/>
        </w:rPr>
      </w:pPr>
      <w:r>
        <w:t>45.</w:t>
      </w:r>
      <w:r>
        <w:tab/>
      </w:r>
      <w:r>
        <w:rPr>
          <w:b/>
          <w:bCs/>
        </w:rPr>
        <w:t xml:space="preserve">The Committee requests the State party to ensure the timely dissemination of the present concluding observations, in the official </w:t>
      </w:r>
      <w:r>
        <w:rPr>
          <w:b/>
          <w:bCs/>
          <w:color w:val="FF0000"/>
        </w:rPr>
        <w:t xml:space="preserve">[language] [languages] </w:t>
      </w:r>
      <w:r>
        <w:rPr>
          <w:b/>
          <w:bCs/>
        </w:rPr>
        <w:t xml:space="preserve">of the State party, to the relevant State institutions at all levels (national, regional and local), in particular to the Government, the ministries, </w:t>
      </w:r>
      <w:r>
        <w:rPr>
          <w:b/>
          <w:bCs/>
          <w:color w:val="FF0000"/>
        </w:rPr>
        <w:t xml:space="preserve">[the parliament] [Parliament] </w:t>
      </w:r>
      <w:r>
        <w:rPr>
          <w:b/>
          <w:bCs/>
        </w:rPr>
        <w:t>and the judiciary, to enable their full implementation.</w:t>
      </w:r>
    </w:p>
    <w:p>
      <w:pPr>
        <w:pStyle w:val="H23G"/>
      </w:pPr>
      <w:r>
        <w:tab/>
      </w:r>
      <w:r>
        <w:tab/>
        <w:t>Technical assistance</w:t>
      </w:r>
    </w:p>
    <w:p>
      <w:pPr>
        <w:pStyle w:val="SingleTxtG"/>
        <w:rPr>
          <w:b/>
          <w:bCs/>
        </w:rPr>
      </w:pPr>
      <w:r>
        <w:t>46.</w:t>
      </w:r>
      <w:r>
        <w:tab/>
      </w:r>
      <w:r>
        <w:rPr>
          <w:b/>
          <w:bCs/>
        </w:rPr>
        <w:t>The Committee recommends that the State party link the implementation of the Convention to its development efforts and that it avail itself of regional or international technical assistance in this respect.</w:t>
      </w:r>
    </w:p>
    <w:p>
      <w:pPr>
        <w:pStyle w:val="H23G"/>
      </w:pPr>
      <w:r>
        <w:tab/>
      </w:r>
      <w:r>
        <w:tab/>
        <w:t>Ratification of other treaties</w:t>
      </w:r>
    </w:p>
    <w:p>
      <w:pPr>
        <w:pStyle w:val="SingleTxtG"/>
        <w:rPr>
          <w:b/>
          <w:bCs/>
        </w:rPr>
      </w:pPr>
      <w:r>
        <w:t>47.</w:t>
      </w:r>
      <w:r>
        <w:tab/>
      </w:r>
      <w:r>
        <w:rPr>
          <w:b/>
          <w:bCs/>
        </w:rPr>
        <w:t>The Committee notes that the adherence of the State party to the nine major international human rights instruments</w:t>
      </w:r>
      <w:r>
        <w:rPr>
          <w:rStyle w:val="Appelnotedebasdep"/>
        </w:rPr>
        <w:footnoteReference w:id="3"/>
      </w:r>
      <w:r>
        <w:rPr>
          <w:b/>
          <w:bCs/>
        </w:rPr>
        <w:t xml:space="preserve"> would enhance the enjoyment by women of their human rights and fundamental freedoms in all aspects of life. The Committee therefore encourages the State party to ratify the </w:t>
      </w:r>
      <w:r>
        <w:rPr>
          <w:b/>
          <w:bCs/>
          <w:color w:val="FF0000"/>
        </w:rPr>
        <w:t>titles of treaties [, to which it is not yet a party]</w:t>
      </w:r>
      <w:r>
        <w:rPr>
          <w:b/>
          <w:bCs/>
        </w:rPr>
        <w:t>.</w:t>
      </w:r>
    </w:p>
    <w:p>
      <w:pPr>
        <w:pStyle w:val="H23G"/>
      </w:pPr>
      <w:r>
        <w:tab/>
      </w:r>
      <w:r>
        <w:tab/>
        <w:t>Follow-up to the concluding observations.</w:t>
      </w:r>
    </w:p>
    <w:p>
      <w:pPr>
        <w:pStyle w:val="SingleTxtG"/>
        <w:rPr>
          <w:b/>
          <w:bCs/>
        </w:rPr>
      </w:pPr>
      <w:r>
        <w:t>48.</w:t>
      </w:r>
      <w:r>
        <w:tab/>
      </w:r>
      <w:r>
        <w:rPr>
          <w:b/>
          <w:bCs/>
        </w:rPr>
        <w:t xml:space="preserve">The Committee requests the State party to provide, within </w:t>
      </w:r>
      <w:r>
        <w:rPr>
          <w:b/>
          <w:bCs/>
          <w:color w:val="FF0000"/>
        </w:rPr>
        <w:t>time frame</w:t>
      </w:r>
      <w:r>
        <w:rPr>
          <w:b/>
          <w:bCs/>
        </w:rPr>
        <w:t xml:space="preserve">, written information on the steps taken to implement the recommendations contained in paragraphs </w:t>
      </w:r>
      <w:r>
        <w:rPr>
          <w:b/>
          <w:bCs/>
          <w:color w:val="FF0000"/>
        </w:rPr>
        <w:t>XX</w:t>
      </w:r>
      <w:r>
        <w:rPr>
          <w:b/>
          <w:bCs/>
        </w:rPr>
        <w:t xml:space="preserve"> and </w:t>
      </w:r>
      <w:r>
        <w:rPr>
          <w:b/>
          <w:bCs/>
          <w:color w:val="FF0000"/>
        </w:rPr>
        <w:t>XX</w:t>
      </w:r>
      <w:r>
        <w:rPr>
          <w:b/>
          <w:bCs/>
        </w:rPr>
        <w:t xml:space="preserve"> above.</w:t>
      </w:r>
    </w:p>
    <w:p>
      <w:pPr>
        <w:pStyle w:val="H23G"/>
      </w:pPr>
      <w:r>
        <w:lastRenderedPageBreak/>
        <w:tab/>
      </w:r>
      <w:r>
        <w:tab/>
        <w:t xml:space="preserve">Preparation of the next report </w:t>
      </w:r>
    </w:p>
    <w:p>
      <w:pPr>
        <w:pStyle w:val="SingleTxtG"/>
        <w:rPr>
          <w:b/>
          <w:bCs/>
        </w:rPr>
      </w:pPr>
      <w:r>
        <w:t>49.</w:t>
      </w:r>
      <w:r>
        <w:tab/>
      </w:r>
      <w:r>
        <w:rPr>
          <w:b/>
          <w:bCs/>
        </w:rPr>
        <w:t xml:space="preserve">The Committee invites the State party to submit its </w:t>
      </w:r>
      <w:r>
        <w:rPr>
          <w:b/>
          <w:bCs/>
          <w:color w:val="FF0000"/>
        </w:rPr>
        <w:t>[combined number periodic] [number periodic]</w:t>
      </w:r>
      <w:r>
        <w:rPr>
          <w:b/>
          <w:bCs/>
        </w:rPr>
        <w:t xml:space="preserve"> report</w:t>
      </w:r>
      <w:r>
        <w:rPr>
          <w:b/>
          <w:bCs/>
          <w:color w:val="FF0000"/>
        </w:rPr>
        <w:t>s</w:t>
      </w:r>
      <w:r>
        <w:rPr>
          <w:b/>
          <w:bCs/>
        </w:rPr>
        <w:t xml:space="preserve"> in </w:t>
      </w:r>
      <w:r>
        <w:rPr>
          <w:b/>
          <w:bCs/>
          <w:color w:val="FF0000"/>
        </w:rPr>
        <w:t>date</w:t>
      </w:r>
      <w:r>
        <w:rPr>
          <w:b/>
          <w:bCs/>
        </w:rPr>
        <w:t>. In case of delay, the report should cover the entire period up to the time of its submission.</w:t>
      </w:r>
    </w:p>
    <w:p>
      <w:pPr>
        <w:pStyle w:val="SingleTxtG"/>
      </w:pPr>
      <w:r>
        <w:t>50.</w:t>
      </w:r>
      <w:r>
        <w:tab/>
      </w:r>
      <w:r>
        <w:rPr>
          <w:b/>
          <w:bCs/>
        </w:rPr>
        <w:t xml:space="preserve">The Committee requests the State party to follow the harmonized guidelines on reporting under the international human rights treaties, including guidelines on a common core document and treaty-specific documents (see </w:t>
      </w:r>
      <w:proofErr w:type="spellStart"/>
      <w:r>
        <w:rPr>
          <w:b/>
          <w:bCs/>
        </w:rPr>
        <w:t>HRI</w:t>
      </w:r>
      <w:proofErr w:type="spellEnd"/>
      <w:r>
        <w:rPr>
          <w:b/>
          <w:bCs/>
        </w:rPr>
        <w:t>/GEN/2/</w:t>
      </w:r>
      <w:proofErr w:type="spellStart"/>
      <w:r>
        <w:rPr>
          <w:b/>
          <w:bCs/>
        </w:rPr>
        <w:t>Rev.6</w:t>
      </w:r>
      <w:proofErr w:type="spellEnd"/>
      <w:r>
        <w:rPr>
          <w:b/>
          <w:bCs/>
        </w:rPr>
        <w:t>, chap. I).</w:t>
      </w:r>
    </w:p>
    <w:p>
      <w:pPr>
        <w:spacing w:before="240"/>
        <w:ind w:left="1134" w:right="1134"/>
        <w:jc w:val="center"/>
        <w:rPr>
          <w:u w:val="single"/>
        </w:rPr>
      </w:pPr>
      <w:r>
        <w:rPr>
          <w:u w:val="single"/>
        </w:rPr>
        <w:tab/>
      </w:r>
      <w:r>
        <w:rPr>
          <w:u w:val="single"/>
        </w:rPr>
        <w:tab/>
      </w:r>
      <w:r>
        <w:rPr>
          <w:u w:val="single"/>
        </w:rPr>
        <w:tab/>
      </w:r>
    </w:p>
    <w:sectPr>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line="240" w:lineRule="auto"/>
      </w:pPr>
    </w:p>
  </w:endnote>
  <w:endnote w:type="continuationSeparator" w:id="0">
    <w:p>
      <w:pPr>
        <w:pStyle w:val="Pieddepage"/>
      </w:pPr>
    </w:p>
  </w:endnote>
  <w:endnote w:type="continuationNotice"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Pieddepage"/>
      <w:tabs>
        <w:tab w:val="right" w:pos="9639"/>
      </w:tabs>
    </w:pPr>
    <w:r>
      <w:rPr>
        <w:b/>
        <w:sz w:val="18"/>
      </w:rPr>
      <w:fldChar w:fldCharType="begin"/>
    </w:r>
    <w:r>
      <w:rPr>
        <w:b/>
        <w:sz w:val="18"/>
      </w:rPr>
      <w:instrText xml:space="preserve"> PAGE  \* MERGEFORMAT </w:instrText>
    </w:r>
    <w:r>
      <w:rPr>
        <w:b/>
        <w:sz w:val="18"/>
      </w:rPr>
      <w:fldChar w:fldCharType="separate"/>
    </w:r>
    <w:r>
      <w:rPr>
        <w:b/>
        <w:noProof/>
        <w:sz w:val="18"/>
      </w:rPr>
      <w:t>2</w:t>
    </w:r>
    <w:r>
      <w:rPr>
        <w:b/>
        <w:sz w:val="18"/>
      </w:rPr>
      <w:fldChar w:fldCharType="end"/>
    </w:r>
    <w:r>
      <w:tab/>
    </w:r>
    <w:r>
      <w:fldChar w:fldCharType="begin"/>
    </w:r>
    <w:r>
      <w:instrText xml:space="preserve"> DOCPROPERTY  gdocf  \* MERGEFORMAT </w:instrText>
    </w:r>
    <w:r>
      <w:fldChar w:fldCharType="separate"/>
    </w:r>
    <w:proofErr w:type="spellStart"/>
    <w:r>
      <w:t>gdocf</w:t>
    </w:r>
    <w:proofErr w:type="spellEnd"/>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Pieddepage"/>
      <w:tabs>
        <w:tab w:val="right" w:pos="9639"/>
      </w:tabs>
      <w:rPr>
        <w:sz w:val="20"/>
      </w:rPr>
    </w:pPr>
    <w:r>
      <w:fldChar w:fldCharType="begin"/>
    </w:r>
    <w:r>
      <w:instrText xml:space="preserve"> DOCPROPERTY  gdocf  \* MERGEFORMAT </w:instrText>
    </w:r>
    <w:r>
      <w:fldChar w:fldCharType="separate"/>
    </w:r>
    <w:proofErr w:type="spellStart"/>
    <w:r>
      <w:t>gdocf</w:t>
    </w:r>
    <w:proofErr w:type="spellEnd"/>
    <w:r>
      <w:fldChar w:fldCharType="end"/>
    </w:r>
    <w:r>
      <w:tab/>
    </w:r>
    <w:r>
      <w:rPr>
        <w:b/>
        <w:sz w:val="18"/>
      </w:rPr>
      <w:fldChar w:fldCharType="begin"/>
    </w:r>
    <w:r>
      <w:rPr>
        <w:b/>
        <w:sz w:val="18"/>
      </w:rPr>
      <w:instrText xml:space="preserve"> PAGE  \* MERGEFORMAT </w:instrText>
    </w:r>
    <w:r>
      <w:rPr>
        <w:b/>
        <w:sz w:val="18"/>
      </w:rPr>
      <w:fldChar w:fldCharType="separate"/>
    </w:r>
    <w:r>
      <w:rPr>
        <w:b/>
        <w:noProof/>
        <w:sz w:val="18"/>
      </w:rPr>
      <w:t>3</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Pieddepage"/>
      <w:spacing w:before="120"/>
      <w:rPr>
        <w:noProof/>
        <w:sz w:val="20"/>
        <w:lang w:val="fr-FR" w:eastAsia="fr-FR"/>
      </w:rPr>
    </w:pPr>
    <w:r>
      <w:rPr>
        <w:noProof/>
        <w:lang w:val="fr-CH" w:eastAsia="zh-CN"/>
      </w:rPr>
      <w:drawing>
        <wp:anchor distT="0" distB="0" distL="114300" distR="114300" simplePos="0" relativeHeight="251658752"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sz w:val="20"/>
      </w:rPr>
      <w:t>GE.</w:t>
    </w:r>
    <w:r>
      <w:rPr>
        <w:sz w:val="20"/>
      </w:rPr>
      <w:fldChar w:fldCharType="begin"/>
    </w:r>
    <w:r>
      <w:rPr>
        <w:sz w:val="20"/>
      </w:rPr>
      <w:instrText xml:space="preserve"> DOCPROPERTY  gdoc  \* MERGEFORMAT </w:instrText>
    </w:r>
    <w:r>
      <w:rPr>
        <w:sz w:val="20"/>
      </w:rPr>
      <w:fldChar w:fldCharType="separate"/>
    </w:r>
    <w:r>
      <w:rPr>
        <w:sz w:val="20"/>
      </w:rPr>
      <w:t>gdoc</w:t>
    </w:r>
    <w:proofErr w:type="spellEnd"/>
    <w:r>
      <w:rPr>
        <w:sz w:val="20"/>
      </w:rPr>
      <w:fldChar w:fldCharType="end"/>
    </w:r>
    <w:r>
      <w:rPr>
        <w:noProof/>
        <w:sz w:val="20"/>
        <w:lang w:val="fr-FR" w:eastAsia="fr-FR"/>
      </w:rPr>
      <w:t xml:space="preserve"> </w:t>
    </w:r>
  </w:p>
  <w:tbl>
    <w:tblPr>
      <w:tblStyle w:val="Grilledutableau"/>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tc>
        <w:tcPr>
          <w:tcW w:w="1848" w:type="dxa"/>
          <w:vAlign w:val="bottom"/>
        </w:tcPr>
        <w:p>
          <w:pPr>
            <w:kinsoku w:val="0"/>
            <w:overflowPunct w:val="0"/>
            <w:autoSpaceDE w:val="0"/>
            <w:autoSpaceDN w:val="0"/>
            <w:adjustRightInd w:val="0"/>
            <w:snapToGrid w:val="0"/>
            <w:spacing w:before="120" w:after="120" w:line="240" w:lineRule="auto"/>
            <w:jc w:val="right"/>
            <w:rPr>
              <w:rFonts w:eastAsiaTheme="minorHAnsi"/>
              <w:sz w:val="16"/>
              <w:lang w:val="fr-CH"/>
            </w:rPr>
          </w:pPr>
          <w:r>
            <w:rPr>
              <w:rFonts w:eastAsiaTheme="minorHAnsi"/>
              <w:noProof/>
              <w:lang w:val="fr-CH" w:eastAsia="zh-CN"/>
            </w:rPr>
            <w:drawing>
              <wp:inline distT="0" distB="0" distL="0" distR="0">
                <wp:extent cx="931545" cy="232410"/>
                <wp:effectExtent l="0" t="0" r="1905" b="0"/>
                <wp:docPr id="2"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pPr>
            <w:kinsoku w:val="0"/>
            <w:overflowPunct w:val="0"/>
            <w:autoSpaceDE w:val="0"/>
            <w:autoSpaceDN w:val="0"/>
            <w:adjustRightInd w:val="0"/>
            <w:snapToGrid w:val="0"/>
            <w:spacing w:line="240" w:lineRule="auto"/>
            <w:jc w:val="right"/>
            <w:rPr>
              <w:rFonts w:eastAsiaTheme="minorHAnsi"/>
              <w:sz w:val="16"/>
              <w:lang w:val="fr-CH"/>
            </w:rPr>
          </w:pPr>
        </w:p>
      </w:tc>
    </w:tr>
  </w:tbl>
  <w:p>
    <w:pPr>
      <w:pStyle w:val="Pieddepage"/>
    </w:pPr>
    <w:r>
      <w:rPr>
        <w:rFonts w:ascii="C39T30Lfz" w:hAnsi="C39T30Lfz"/>
        <w:noProof/>
        <w:sz w:val="56"/>
        <w:szCs w:val="56"/>
        <w:lang w:val="fr-FR" w:eastAsia="fr-FR"/>
      </w:rPr>
      <w:fldChar w:fldCharType="begin"/>
    </w:r>
    <w:r>
      <w:rPr>
        <w:rFonts w:ascii="C39T30Lfz" w:hAnsi="C39T30Lfz"/>
        <w:noProof/>
        <w:sz w:val="56"/>
        <w:szCs w:val="56"/>
        <w:lang w:val="fr-FR" w:eastAsia="fr-FR"/>
      </w:rPr>
      <w:instrText xml:space="preserve"> DOCPROPERTY  bar  \* MERGEFORMAT </w:instrText>
    </w:r>
    <w:r>
      <w:rPr>
        <w:rFonts w:ascii="C39T30Lfz" w:hAnsi="C39T30Lfz"/>
        <w:noProof/>
        <w:sz w:val="56"/>
        <w:szCs w:val="56"/>
        <w:lang w:val="fr-FR" w:eastAsia="fr-FR"/>
      </w:rPr>
      <w:fldChar w:fldCharType="separate"/>
    </w:r>
    <w:r>
      <w:rPr>
        <w:rFonts w:ascii="C39T30Lfz" w:hAnsi="C39T30Lfz"/>
        <w:noProof/>
        <w:sz w:val="56"/>
        <w:szCs w:val="56"/>
        <w:lang w:val="fr-FR" w:eastAsia="fr-FR"/>
      </w:rPr>
      <w:t>*0123456789</w:t>
    </w:r>
    <w:r>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pStyle w:val="Pieddepage"/>
        <w:tabs>
          <w:tab w:val="right" w:pos="2155"/>
        </w:tabs>
        <w:spacing w:after="80" w:line="240" w:lineRule="atLeast"/>
        <w:ind w:left="680"/>
        <w:rPr>
          <w:u w:val="single"/>
        </w:rPr>
      </w:pPr>
      <w:r>
        <w:rPr>
          <w:u w:val="single"/>
        </w:rPr>
        <w:tab/>
      </w:r>
    </w:p>
  </w:footnote>
  <w:footnote w:type="continuationSeparator" w:id="0">
    <w:p>
      <w:pPr>
        <w:pStyle w:val="Pieddepage"/>
        <w:tabs>
          <w:tab w:val="right" w:pos="2155"/>
        </w:tabs>
        <w:spacing w:after="80" w:line="240" w:lineRule="atLeast"/>
        <w:ind w:left="680"/>
        <w:rPr>
          <w:u w:val="single"/>
        </w:rPr>
      </w:pPr>
      <w:r>
        <w:rPr>
          <w:u w:val="single"/>
        </w:rPr>
        <w:tab/>
      </w:r>
    </w:p>
  </w:footnote>
  <w:footnote w:type="continuationNotice" w:id="1">
    <w:p>
      <w:pPr>
        <w:spacing w:line="240" w:lineRule="auto"/>
        <w:rPr>
          <w:sz w:val="2"/>
          <w:szCs w:val="2"/>
        </w:rPr>
      </w:pPr>
    </w:p>
  </w:footnote>
  <w:footnote w:id="2">
    <w:p>
      <w:pPr>
        <w:pStyle w:val="Notedebasdepage"/>
      </w:pPr>
      <w:r>
        <w:rPr>
          <w:rStyle w:val="Appelnotedebasdep"/>
          <w:vertAlign w:val="baseline"/>
        </w:rPr>
        <w:tab/>
        <w:t>*</w:t>
      </w:r>
      <w:r>
        <w:rPr>
          <w:rStyle w:val="Appelnotedebasdep"/>
          <w:vertAlign w:val="baseline"/>
        </w:rPr>
        <w:tab/>
        <w:t xml:space="preserve">Adopted by the Committee at its </w:t>
      </w:r>
      <w:r>
        <w:rPr>
          <w:rStyle w:val="Appelnotedebasdep"/>
          <w:color w:val="FF0000"/>
          <w:vertAlign w:val="baseline"/>
        </w:rPr>
        <w:t xml:space="preserve">number </w:t>
      </w:r>
      <w:r>
        <w:rPr>
          <w:rStyle w:val="Appelnotedebasdep"/>
          <w:vertAlign w:val="baseline"/>
        </w:rPr>
        <w:t>session (</w:t>
      </w:r>
      <w:r>
        <w:rPr>
          <w:rStyle w:val="Appelnotedebasdep"/>
          <w:color w:val="FF0000"/>
          <w:vertAlign w:val="baseline"/>
        </w:rPr>
        <w:t>dates</w:t>
      </w:r>
      <w:r>
        <w:rPr>
          <w:rStyle w:val="Appelnotedebasdep"/>
          <w:vertAlign w:val="baseline"/>
        </w:rPr>
        <w:t>).</w:t>
      </w:r>
    </w:p>
  </w:footnote>
  <w:footnote w:id="3">
    <w:p>
      <w:pPr>
        <w:pStyle w:val="Notedebasdepage"/>
        <w:rPr>
          <w:lang w:val="en-US"/>
        </w:rPr>
      </w:pPr>
      <w:r>
        <w:tab/>
      </w:r>
      <w:r>
        <w:rPr>
          <w:rStyle w:val="Appelnotedebasdep"/>
        </w:rPr>
        <w:footnoteRef/>
      </w:r>
      <w:r>
        <w:tab/>
        <w:t>The International Covenant on Economic, Social and Cultural Rights; the International Covenant on Civil and Political Rights; the International Convention on the Elimination of All Forms of Racial Discrimination; the Convention on the Elimination of All Forms of Discrimination against Women; the Convention against Torture and Other Cruel, Inhuman or Degrading Treatment or Punishment; the Convention on the Rights of the Child; the International Convention on the Protection of the Rights of All Migrant Workers and Members of Their Families; the International Convention for the Protection of All Persons from Enforced Disappearance; and the Convention on the Rights of Persons with Disabilities.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En-tte"/>
    </w:pPr>
    <w:r>
      <w:fldChar w:fldCharType="begin"/>
    </w:r>
    <w:r>
      <w:instrText xml:space="preserve"> DOCPROPERTY  symh  \* MERGEFORMAT </w:instrText>
    </w:r>
    <w:r>
      <w:fldChar w:fldCharType="separate"/>
    </w:r>
    <w:proofErr w:type="spellStart"/>
    <w:r>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En-tte"/>
      <w:jc w:val="right"/>
    </w:pPr>
    <w:r>
      <w:fldChar w:fldCharType="begin"/>
    </w:r>
    <w:r>
      <w:instrText xml:space="preserve"> DOCPROPERTY  symh  \* MERGEFORMAT </w:instrText>
    </w:r>
    <w:r>
      <w:fldChar w:fldCharType="separate"/>
    </w:r>
    <w:proofErr w:type="spellStart"/>
    <w:r>
      <w:t>symh</w:t>
    </w:r>
    <w:proofErr w:type="spellEnd"/>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44DD0BF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664D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6"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11"/>
  </w:num>
  <w:num w:numId="16">
    <w:abstractNumId w:val="10"/>
  </w:num>
  <w:num w:numId="17">
    <w:abstractNumId w:val="12"/>
  </w:num>
  <w:num w:numId="18">
    <w:abstractNumId w:val="14"/>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defaultTabStop w:val="567"/>
  <w:hyphenationZone w:val="425"/>
  <w:evenAndOddHeaders/>
  <w:characterSpacingControl w:val="doNotCompress"/>
  <w:hdrShapeDefaults>
    <o:shapedefaults v:ext="edit" spidmax="16385"/>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12F5F0E3-3ABD-4769-BEAE-19C1C91A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spacing w:after="0" w:line="240" w:lineRule="atLeast"/>
    </w:pPr>
    <w:rPr>
      <w:rFonts w:ascii="Times New Roman" w:eastAsia="Times New Roman" w:hAnsi="Times New Roman" w:cs="Times New Roman"/>
      <w:sz w:val="20"/>
      <w:szCs w:val="20"/>
      <w:lang w:val="en-GB"/>
    </w:rPr>
  </w:style>
  <w:style w:type="paragraph" w:styleId="Titre1">
    <w:name w:val="heading 1"/>
    <w:aliases w:val="Table_G"/>
    <w:basedOn w:val="SingleTxtG"/>
    <w:next w:val="SingleTxtG"/>
    <w:link w:val="Titre1Car"/>
    <w:qFormat/>
    <w:pPr>
      <w:keepNext/>
      <w:keepLines/>
      <w:spacing w:after="0" w:line="240" w:lineRule="auto"/>
      <w:ind w:right="0"/>
      <w:jc w:val="left"/>
      <w:outlineLvl w:val="0"/>
    </w:pPr>
  </w:style>
  <w:style w:type="paragraph" w:styleId="Titre2">
    <w:name w:val="heading 2"/>
    <w:basedOn w:val="Normal"/>
    <w:next w:val="Normal"/>
    <w:link w:val="Titre2Car"/>
    <w:semiHidden/>
    <w:qFormat/>
    <w:pPr>
      <w:kinsoku w:val="0"/>
      <w:overflowPunct w:val="0"/>
      <w:autoSpaceDE w:val="0"/>
      <w:autoSpaceDN w:val="0"/>
      <w:adjustRightInd w:val="0"/>
      <w:snapToGrid w:val="0"/>
      <w:outlineLvl w:val="1"/>
    </w:pPr>
    <w:rPr>
      <w:rFonts w:eastAsiaTheme="minorHAnsi"/>
      <w:lang w:val="fr-CH"/>
    </w:rPr>
  </w:style>
  <w:style w:type="paragraph" w:styleId="Titre3">
    <w:name w:val="heading 3"/>
    <w:basedOn w:val="Normal"/>
    <w:next w:val="Normal"/>
    <w:link w:val="Titre3Car"/>
    <w:semiHidden/>
    <w:qFormat/>
    <w:pPr>
      <w:kinsoku w:val="0"/>
      <w:overflowPunct w:val="0"/>
      <w:autoSpaceDE w:val="0"/>
      <w:autoSpaceDN w:val="0"/>
      <w:adjustRightInd w:val="0"/>
      <w:snapToGrid w:val="0"/>
      <w:outlineLvl w:val="2"/>
    </w:pPr>
    <w:rPr>
      <w:rFonts w:eastAsiaTheme="minorHAnsi"/>
      <w:lang w:val="fr-CH"/>
    </w:rPr>
  </w:style>
  <w:style w:type="paragraph" w:styleId="Titre4">
    <w:name w:val="heading 4"/>
    <w:basedOn w:val="Normal"/>
    <w:next w:val="Normal"/>
    <w:link w:val="Titre4Car"/>
    <w:semiHidden/>
    <w:qFormat/>
    <w:pPr>
      <w:kinsoku w:val="0"/>
      <w:overflowPunct w:val="0"/>
      <w:autoSpaceDE w:val="0"/>
      <w:autoSpaceDN w:val="0"/>
      <w:adjustRightInd w:val="0"/>
      <w:snapToGrid w:val="0"/>
      <w:outlineLvl w:val="3"/>
    </w:pPr>
    <w:rPr>
      <w:rFonts w:eastAsiaTheme="minorHAnsi"/>
      <w:lang w:val="fr-CH"/>
    </w:rPr>
  </w:style>
  <w:style w:type="paragraph" w:styleId="Titre5">
    <w:name w:val="heading 5"/>
    <w:basedOn w:val="Normal"/>
    <w:next w:val="Normal"/>
    <w:link w:val="Titre5Car"/>
    <w:semiHidden/>
    <w:qFormat/>
    <w:pPr>
      <w:kinsoku w:val="0"/>
      <w:overflowPunct w:val="0"/>
      <w:autoSpaceDE w:val="0"/>
      <w:autoSpaceDN w:val="0"/>
      <w:adjustRightInd w:val="0"/>
      <w:snapToGrid w:val="0"/>
      <w:outlineLvl w:val="4"/>
    </w:pPr>
    <w:rPr>
      <w:rFonts w:eastAsiaTheme="minorHAnsi"/>
      <w:lang w:val="fr-CH"/>
    </w:rPr>
  </w:style>
  <w:style w:type="paragraph" w:styleId="Titre6">
    <w:name w:val="heading 6"/>
    <w:basedOn w:val="Normal"/>
    <w:next w:val="Normal"/>
    <w:link w:val="Titre6Car"/>
    <w:semiHidden/>
    <w:qFormat/>
    <w:pPr>
      <w:kinsoku w:val="0"/>
      <w:overflowPunct w:val="0"/>
      <w:autoSpaceDE w:val="0"/>
      <w:autoSpaceDN w:val="0"/>
      <w:adjustRightInd w:val="0"/>
      <w:snapToGrid w:val="0"/>
      <w:outlineLvl w:val="5"/>
    </w:pPr>
    <w:rPr>
      <w:rFonts w:eastAsiaTheme="minorHAnsi"/>
      <w:lang w:val="fr-CH"/>
    </w:rPr>
  </w:style>
  <w:style w:type="paragraph" w:styleId="Titre7">
    <w:name w:val="heading 7"/>
    <w:basedOn w:val="Normal"/>
    <w:next w:val="Normal"/>
    <w:link w:val="Titre7Car"/>
    <w:semiHidden/>
    <w:qFormat/>
    <w:pPr>
      <w:kinsoku w:val="0"/>
      <w:overflowPunct w:val="0"/>
      <w:autoSpaceDE w:val="0"/>
      <w:autoSpaceDN w:val="0"/>
      <w:adjustRightInd w:val="0"/>
      <w:snapToGrid w:val="0"/>
      <w:outlineLvl w:val="6"/>
    </w:pPr>
    <w:rPr>
      <w:rFonts w:eastAsiaTheme="minorHAnsi"/>
      <w:lang w:val="fr-CH"/>
    </w:rPr>
  </w:style>
  <w:style w:type="paragraph" w:styleId="Titre8">
    <w:name w:val="heading 8"/>
    <w:basedOn w:val="Normal"/>
    <w:next w:val="Normal"/>
    <w:link w:val="Titre8Car"/>
    <w:semiHidden/>
    <w:qFormat/>
    <w:pPr>
      <w:kinsoku w:val="0"/>
      <w:overflowPunct w:val="0"/>
      <w:autoSpaceDE w:val="0"/>
      <w:autoSpaceDN w:val="0"/>
      <w:adjustRightInd w:val="0"/>
      <w:snapToGrid w:val="0"/>
      <w:outlineLvl w:val="7"/>
    </w:pPr>
    <w:rPr>
      <w:rFonts w:eastAsiaTheme="minorHAnsi"/>
      <w:lang w:val="fr-CH"/>
    </w:rPr>
  </w:style>
  <w:style w:type="paragraph" w:styleId="Titre9">
    <w:name w:val="heading 9"/>
    <w:basedOn w:val="Normal"/>
    <w:next w:val="Normal"/>
    <w:link w:val="Titre9Car"/>
    <w:semiHidden/>
    <w:qFormat/>
    <w:pPr>
      <w:kinsoku w:val="0"/>
      <w:overflowPunct w:val="0"/>
      <w:autoSpaceDE w:val="0"/>
      <w:autoSpaceDN w:val="0"/>
      <w:adjustRightInd w:val="0"/>
      <w:snapToGrid w:val="0"/>
      <w:outlineLvl w:val="8"/>
    </w:pPr>
    <w:rPr>
      <w:rFonts w:eastAsiaTheme="minorHAnsi"/>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aliases w:val="6_G"/>
    <w:basedOn w:val="Normal"/>
    <w:link w:val="En-tteCar"/>
    <w:pPr>
      <w:pBdr>
        <w:bottom w:val="single" w:sz="4" w:space="4" w:color="auto"/>
      </w:pBdr>
      <w:suppressAutoHyphens w:val="0"/>
      <w:spacing w:line="240" w:lineRule="auto"/>
    </w:pPr>
    <w:rPr>
      <w:rFonts w:eastAsiaTheme="minorHAnsi"/>
      <w:b/>
      <w:sz w:val="18"/>
    </w:rPr>
  </w:style>
  <w:style w:type="character" w:customStyle="1" w:styleId="En-tteCar">
    <w:name w:val="En-tête Car"/>
    <w:aliases w:val="6_G Car"/>
    <w:basedOn w:val="Policepardfaut"/>
    <w:link w:val="En-tte"/>
    <w:rPr>
      <w:rFonts w:ascii="Times New Roman" w:hAnsi="Times New Roman" w:cs="Times New Roman"/>
      <w:b/>
      <w:sz w:val="18"/>
      <w:szCs w:val="20"/>
      <w:lang w:val="en-GB"/>
    </w:rPr>
  </w:style>
  <w:style w:type="paragraph" w:styleId="Pieddepage">
    <w:name w:val="footer"/>
    <w:aliases w:val="3_G"/>
    <w:basedOn w:val="Normal"/>
    <w:link w:val="PieddepageCar"/>
    <w:pPr>
      <w:suppressAutoHyphens w:val="0"/>
      <w:spacing w:line="240" w:lineRule="auto"/>
    </w:pPr>
    <w:rPr>
      <w:rFonts w:eastAsiaTheme="minorHAnsi"/>
      <w:sz w:val="16"/>
    </w:rPr>
  </w:style>
  <w:style w:type="character" w:customStyle="1" w:styleId="PieddepageCar">
    <w:name w:val="Pied de page Car"/>
    <w:aliases w:val="3_G Car"/>
    <w:basedOn w:val="Policepardfaut"/>
    <w:link w:val="Pieddepage"/>
    <w:rPr>
      <w:rFonts w:ascii="Times New Roman" w:hAnsi="Times New Roman" w:cs="Times New Roman"/>
      <w:sz w:val="16"/>
      <w:szCs w:val="20"/>
      <w:lang w:val="en-GB"/>
    </w:rPr>
  </w:style>
  <w:style w:type="paragraph" w:customStyle="1" w:styleId="HMG">
    <w:name w:val="_ H __M_G"/>
    <w:basedOn w:val="Normal"/>
    <w:next w:val="Normal"/>
    <w:qFormat/>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14"/>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pPr>
      <w:numPr>
        <w:numId w:val="15"/>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pPr>
      <w:numPr>
        <w:numId w:val="16"/>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Appelnotedebasdep">
    <w:name w:val="footnote reference"/>
    <w:aliases w:val="4_G"/>
    <w:basedOn w:val="Policepardfaut"/>
    <w:qFormat/>
    <w:rPr>
      <w:rFonts w:ascii="Times New Roman" w:hAnsi="Times New Roman"/>
      <w:sz w:val="18"/>
      <w:vertAlign w:val="superscript"/>
      <w:lang w:val="en-GB"/>
    </w:rPr>
  </w:style>
  <w:style w:type="character" w:styleId="Appeldenotedefin">
    <w:name w:val="endnote reference"/>
    <w:aliases w:val="1_G"/>
    <w:basedOn w:val="Appelnotedebasdep"/>
    <w:qFormat/>
    <w:rPr>
      <w:rFonts w:ascii="Times New Roman" w:hAnsi="Times New Roman"/>
      <w:sz w:val="18"/>
      <w:vertAlign w:val="superscript"/>
      <w:lang w:val="en-GB"/>
    </w:rPr>
  </w:style>
  <w:style w:type="table" w:styleId="Grilledutableau">
    <w:name w:val="Table Grid"/>
    <w:basedOn w:val="Tableau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Lienhypertexte">
    <w:name w:val="Hyperlink"/>
    <w:basedOn w:val="Policepardfaut"/>
    <w:semiHidden/>
    <w:rPr>
      <w:color w:val="0000FF"/>
      <w:u w:val="none"/>
    </w:rPr>
  </w:style>
  <w:style w:type="character" w:styleId="Lienhypertextesuivivisit">
    <w:name w:val="FollowedHyperlink"/>
    <w:basedOn w:val="Policepardfaut"/>
    <w:semiHidden/>
    <w:rPr>
      <w:color w:val="0000FF"/>
      <w:u w:val="none"/>
    </w:rPr>
  </w:style>
  <w:style w:type="paragraph" w:styleId="Notedebasdepage">
    <w:name w:val="footnote text"/>
    <w:aliases w:val="5_G"/>
    <w:basedOn w:val="Normal"/>
    <w:link w:val="NotedebasdepageCar"/>
    <w:qFormat/>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NotedebasdepageCar">
    <w:name w:val="Note de bas de page Car"/>
    <w:aliases w:val="5_G Car"/>
    <w:basedOn w:val="Policepardfaut"/>
    <w:link w:val="Notedebasdepage"/>
    <w:rPr>
      <w:rFonts w:ascii="Times New Roman" w:hAnsi="Times New Roman" w:cs="Times New Roman"/>
      <w:sz w:val="18"/>
      <w:szCs w:val="20"/>
      <w:lang w:val="en-GB"/>
    </w:rPr>
  </w:style>
  <w:style w:type="paragraph" w:styleId="Notedefin">
    <w:name w:val="endnote text"/>
    <w:aliases w:val="2_G"/>
    <w:basedOn w:val="Notedebasdepage"/>
    <w:link w:val="NotedefinCar"/>
    <w:qFormat/>
  </w:style>
  <w:style w:type="character" w:customStyle="1" w:styleId="NotedefinCar">
    <w:name w:val="Note de fin Car"/>
    <w:aliases w:val="2_G Car"/>
    <w:basedOn w:val="Policepardfaut"/>
    <w:link w:val="Notedefin"/>
    <w:rPr>
      <w:rFonts w:ascii="Times New Roman" w:hAnsi="Times New Roman" w:cs="Times New Roman"/>
      <w:sz w:val="18"/>
      <w:szCs w:val="20"/>
      <w:lang w:val="en-GB"/>
    </w:rPr>
  </w:style>
  <w:style w:type="character" w:styleId="Numrodepage">
    <w:name w:val="page number"/>
    <w:aliases w:val="7_G"/>
    <w:basedOn w:val="Policepardfaut"/>
    <w:qFormat/>
    <w:rPr>
      <w:rFonts w:ascii="Times New Roman" w:hAnsi="Times New Roman"/>
      <w:b/>
      <w:sz w:val="18"/>
      <w:lang w:val="en-GB"/>
    </w:rPr>
  </w:style>
  <w:style w:type="character" w:customStyle="1" w:styleId="Titre1Car">
    <w:name w:val="Titre 1 Car"/>
    <w:aliases w:val="Table_G Car"/>
    <w:basedOn w:val="Policepardfaut"/>
    <w:link w:val="Titre1"/>
    <w:rPr>
      <w:rFonts w:ascii="Times New Roman" w:hAnsi="Times New Roman" w:cs="Times New Roman"/>
      <w:sz w:val="20"/>
      <w:szCs w:val="20"/>
      <w:lang w:val="en-GB"/>
    </w:rPr>
  </w:style>
  <w:style w:type="character" w:customStyle="1" w:styleId="Titre2Car">
    <w:name w:val="Titre 2 Car"/>
    <w:basedOn w:val="Policepardfaut"/>
    <w:link w:val="Titre2"/>
    <w:semiHidden/>
    <w:rPr>
      <w:rFonts w:ascii="Times New Roman" w:hAnsi="Times New Roman" w:cs="Times New Roman"/>
      <w:sz w:val="20"/>
      <w:szCs w:val="20"/>
    </w:rPr>
  </w:style>
  <w:style w:type="character" w:customStyle="1" w:styleId="Titre3Car">
    <w:name w:val="Titre 3 Car"/>
    <w:basedOn w:val="Policepardfaut"/>
    <w:link w:val="Titre3"/>
    <w:semiHidden/>
    <w:rPr>
      <w:rFonts w:ascii="Times New Roman" w:hAnsi="Times New Roman" w:cs="Times New Roman"/>
      <w:sz w:val="20"/>
      <w:szCs w:val="20"/>
    </w:rPr>
  </w:style>
  <w:style w:type="character" w:customStyle="1" w:styleId="Titre4Car">
    <w:name w:val="Titre 4 Car"/>
    <w:basedOn w:val="Policepardfaut"/>
    <w:link w:val="Titre4"/>
    <w:semiHidden/>
    <w:rPr>
      <w:rFonts w:ascii="Times New Roman" w:hAnsi="Times New Roman" w:cs="Times New Roman"/>
      <w:sz w:val="20"/>
      <w:szCs w:val="20"/>
    </w:rPr>
  </w:style>
  <w:style w:type="character" w:customStyle="1" w:styleId="Titre5Car">
    <w:name w:val="Titre 5 Car"/>
    <w:basedOn w:val="Policepardfaut"/>
    <w:link w:val="Titre5"/>
    <w:semiHidden/>
    <w:rPr>
      <w:rFonts w:ascii="Times New Roman" w:hAnsi="Times New Roman" w:cs="Times New Roman"/>
      <w:sz w:val="20"/>
      <w:szCs w:val="20"/>
    </w:rPr>
  </w:style>
  <w:style w:type="character" w:customStyle="1" w:styleId="Titre6Car">
    <w:name w:val="Titre 6 Car"/>
    <w:basedOn w:val="Policepardfaut"/>
    <w:link w:val="Titre6"/>
    <w:semiHidden/>
    <w:rPr>
      <w:rFonts w:ascii="Times New Roman" w:hAnsi="Times New Roman" w:cs="Times New Roman"/>
      <w:sz w:val="20"/>
      <w:szCs w:val="20"/>
    </w:rPr>
  </w:style>
  <w:style w:type="character" w:customStyle="1" w:styleId="Titre7Car">
    <w:name w:val="Titre 7 Car"/>
    <w:basedOn w:val="Policepardfaut"/>
    <w:link w:val="Titre7"/>
    <w:semiHidden/>
    <w:rPr>
      <w:rFonts w:ascii="Times New Roman" w:hAnsi="Times New Roman" w:cs="Times New Roman"/>
      <w:sz w:val="20"/>
      <w:szCs w:val="20"/>
    </w:rPr>
  </w:style>
  <w:style w:type="character" w:customStyle="1" w:styleId="Titre8Car">
    <w:name w:val="Titre 8 Car"/>
    <w:basedOn w:val="Policepardfaut"/>
    <w:link w:val="Titre8"/>
    <w:semiHidden/>
    <w:rPr>
      <w:rFonts w:ascii="Times New Roman" w:hAnsi="Times New Roman" w:cs="Times New Roman"/>
      <w:sz w:val="20"/>
      <w:szCs w:val="20"/>
    </w:rPr>
  </w:style>
  <w:style w:type="character" w:customStyle="1" w:styleId="Titre9Car">
    <w:name w:val="Titre 9 Car"/>
    <w:basedOn w:val="Policepardfaut"/>
    <w:link w:val="Titre9"/>
    <w:semiHidden/>
    <w:rPr>
      <w:rFonts w:ascii="Times New Roman" w:hAnsi="Times New Roman" w:cs="Times New Roman"/>
      <w:sz w:val="20"/>
      <w:szCs w:val="20"/>
    </w:rPr>
  </w:style>
  <w:style w:type="paragraph" w:styleId="Textedebulles">
    <w:name w:val="Balloon Text"/>
    <w:basedOn w:val="Normal"/>
    <w:link w:val="TextedebullesCar"/>
    <w:uiPriority w:val="99"/>
    <w:semiHidden/>
    <w:unhideWhenUse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eastAsia="Times New Roman" w:hAnsi="Tahoma" w:cs="Tahoma"/>
      <w:sz w:val="16"/>
      <w:szCs w:val="16"/>
      <w:lang w:val="en-GB"/>
    </w:rPr>
  </w:style>
  <w:style w:type="character" w:customStyle="1" w:styleId="SingleTxtGChar">
    <w:name w:val="_ Single Txt_G Char"/>
    <w:link w:val="SingleTxtG"/>
    <w:locked/>
    <w:rPr>
      <w:rFonts w:ascii="Times New Roman" w:hAnsi="Times New Roman" w:cs="Times New Roman"/>
      <w:sz w:val="20"/>
      <w:szCs w:val="20"/>
      <w:lang w:val="en-GB"/>
    </w:rPr>
  </w:style>
  <w:style w:type="numbering" w:styleId="111111">
    <w:name w:val="Outline List 2"/>
    <w:basedOn w:val="Aucuneliste"/>
    <w:semiHidden/>
    <w:pPr>
      <w:numPr>
        <w:numId w:val="18"/>
      </w:numPr>
    </w:pPr>
  </w:style>
  <w:style w:type="numbering" w:styleId="1ai">
    <w:name w:val="Outline List 1"/>
    <w:basedOn w:val="Aucuneliste"/>
    <w:semiHidden/>
    <w:pPr>
      <w:numPr>
        <w:numId w:val="20"/>
      </w:numPr>
    </w:pPr>
  </w:style>
  <w:style w:type="table" w:customStyle="1" w:styleId="TableGrid1">
    <w:name w:val="Table Grid1"/>
    <w:basedOn w:val="TableauNormal"/>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856</Words>
  <Characters>4714</Characters>
  <Application>Microsoft Office Word</Application>
  <DocSecurity>0</DocSecurity>
  <Lines>39</Lines>
  <Paragraphs>11</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DCM</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Gloria</dc:creator>
  <cp:lastModifiedBy>Belen Camarasa Rioja</cp:lastModifiedBy>
  <cp:revision>5</cp:revision>
  <cp:lastPrinted>2017-04-21T12:16:00Z</cp:lastPrinted>
  <dcterms:created xsi:type="dcterms:W3CDTF">2017-11-02T11:08:00Z</dcterms:created>
  <dcterms:modified xsi:type="dcterms:W3CDTF">2018-03-20T14:56:00Z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