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Discrimination</w:t>
      </w:r>
      <w:r>
        <w:rPr>
          <w:b/>
          <w:sz w:val="24"/>
          <w:szCs w:val="24"/>
        </w:rPr>
        <w:br/>
        <w:t>against Women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the absence of the </w:t>
      </w:r>
      <w:fldSimple w:instr=" DOCPROPERTY  prep  \* MERGEFORMAT ">
        <w:r>
          <w:t>prep</w:t>
        </w:r>
      </w:fldSimple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2017-11-02T11:09:00Z</dcterms:created>
  <dcterms:modified xsi:type="dcterms:W3CDTF">2018-03-23T08:59:00Z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