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0756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07569" w:rsidRDefault="00A0756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07569" w:rsidRDefault="00AA319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07569" w:rsidRDefault="00AA319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bookmarkStart w:id="0" w:name="_GoBack"/>
            <w:bookmarkEnd w:id="0"/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A0756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A07569" w:rsidRDefault="00AA319B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A07569" w:rsidRDefault="00AA319B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A07569" w:rsidRDefault="00AA319B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A07569" w:rsidRDefault="00AA319B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A07569" w:rsidRDefault="00AA319B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A07569" w:rsidRDefault="00AA319B">
      <w:pPr>
        <w:rPr>
          <w:b/>
        </w:rPr>
      </w:pPr>
      <w:r>
        <w:rPr>
          <w:b/>
        </w:rPr>
        <w:t>Pre-sessional working group</w:t>
      </w:r>
    </w:p>
    <w:p w:rsidR="00A07569" w:rsidRDefault="00AA319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A07569" w:rsidRDefault="00AA319B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A07569" w:rsidRDefault="00AA319B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  <w:r>
        <w:rPr>
          <w:rFonts w:eastAsia="Times New Roman"/>
          <w:b w:val="0"/>
          <w:sz w:val="20"/>
        </w:rPr>
        <w:footnoteReference w:customMarkFollows="1" w:id="2"/>
        <w:t>*</w:t>
      </w:r>
    </w:p>
    <w:p w:rsidR="00A07569" w:rsidRDefault="00AA319B">
      <w:pPr>
        <w:pStyle w:val="H1G"/>
      </w:pPr>
      <w:r>
        <w:tab/>
      </w:r>
      <w:r>
        <w:tab/>
        <w:t>Draft prepared by the working group</w:t>
      </w:r>
    </w:p>
    <w:p w:rsidR="00A07569" w:rsidRDefault="00AA319B">
      <w:pPr>
        <w:pStyle w:val="HChG"/>
      </w:pPr>
      <w:r>
        <w:tab/>
        <w:t>I.</w:t>
      </w:r>
      <w:r>
        <w:tab/>
        <w:t>General information</w:t>
      </w:r>
    </w:p>
    <w:p w:rsidR="00A07569" w:rsidRDefault="00AA319B">
      <w:pPr>
        <w:pStyle w:val="HChG"/>
      </w:pPr>
      <w:r>
        <w:tab/>
        <w:t xml:space="preserve">II. </w:t>
      </w:r>
      <w:r>
        <w:tab/>
        <w:t>Issues relat</w:t>
      </w:r>
      <w:r>
        <w:t>ing to the general provisions of the Covenant (arts. 1-5)</w:t>
      </w:r>
    </w:p>
    <w:p w:rsidR="00A07569" w:rsidRDefault="00AA319B">
      <w:pPr>
        <w:pStyle w:val="H23G"/>
      </w:pPr>
      <w:r>
        <w:tab/>
      </w:r>
      <w:r>
        <w:tab/>
        <w:t>Right to freely dispose of natural wealth and resources (art. 1 (2))</w:t>
      </w:r>
    </w:p>
    <w:p w:rsidR="00A07569" w:rsidRDefault="00AA319B">
      <w:pPr>
        <w:pStyle w:val="H23G"/>
      </w:pPr>
      <w:r>
        <w:tab/>
      </w:r>
      <w:r>
        <w:tab/>
        <w:t>Maximum available resources (art. 2 (1))</w:t>
      </w:r>
    </w:p>
    <w:p w:rsidR="00A07569" w:rsidRDefault="00AA319B">
      <w:pPr>
        <w:pStyle w:val="H23G"/>
      </w:pPr>
      <w:r>
        <w:tab/>
      </w:r>
      <w:r>
        <w:tab/>
        <w:t>Non-discrimination (art. 2 (2))</w:t>
      </w:r>
    </w:p>
    <w:p w:rsidR="00A07569" w:rsidRDefault="00AA319B">
      <w:pPr>
        <w:pStyle w:val="H23G"/>
      </w:pPr>
      <w:r>
        <w:tab/>
      </w:r>
      <w:r>
        <w:tab/>
        <w:t>Equal rights of men and women (art. 3)</w:t>
      </w:r>
    </w:p>
    <w:p w:rsidR="00A07569" w:rsidRDefault="00AA319B">
      <w:pPr>
        <w:pStyle w:val="HChG"/>
        <w:keepNext w:val="0"/>
        <w:keepLines w:val="0"/>
      </w:pPr>
      <w:r>
        <w:tab/>
        <w:t xml:space="preserve">III. </w:t>
      </w:r>
      <w:r>
        <w:tab/>
      </w:r>
      <w:r>
        <w:t>Issues relating to the specific provisions of the Covenant (arts. 6-15)</w:t>
      </w:r>
    </w:p>
    <w:p w:rsidR="00A07569" w:rsidRDefault="00AA319B">
      <w:pPr>
        <w:pStyle w:val="H23G"/>
      </w:pPr>
      <w:r>
        <w:lastRenderedPageBreak/>
        <w:tab/>
      </w:r>
      <w:r>
        <w:tab/>
        <w:t>Right to work (art. 6)</w:t>
      </w:r>
    </w:p>
    <w:p w:rsidR="00A07569" w:rsidRDefault="00AA319B">
      <w:pPr>
        <w:pStyle w:val="H23G"/>
      </w:pPr>
      <w:r>
        <w:tab/>
      </w:r>
      <w:r>
        <w:tab/>
        <w:t>Right to just and favourable conditions of work (art. 7)</w:t>
      </w:r>
    </w:p>
    <w:p w:rsidR="00A07569" w:rsidRDefault="00AA319B">
      <w:pPr>
        <w:pStyle w:val="H23G"/>
      </w:pPr>
      <w:r>
        <w:tab/>
      </w:r>
      <w:r>
        <w:tab/>
        <w:t>Trade union rights (art. 8)</w:t>
      </w:r>
    </w:p>
    <w:p w:rsidR="00A07569" w:rsidRDefault="00AA319B">
      <w:pPr>
        <w:pStyle w:val="H23G"/>
      </w:pPr>
      <w:r>
        <w:tab/>
      </w:r>
      <w:r>
        <w:tab/>
        <w:t>Right to social security (art. 9)</w:t>
      </w:r>
    </w:p>
    <w:p w:rsidR="00A07569" w:rsidRDefault="00AA319B">
      <w:pPr>
        <w:pStyle w:val="H23G"/>
      </w:pPr>
      <w:r>
        <w:tab/>
      </w:r>
      <w:r>
        <w:tab/>
        <w:t>Protection of the family and chi</w:t>
      </w:r>
      <w:r>
        <w:t>ldren (art. 10)</w:t>
      </w:r>
    </w:p>
    <w:p w:rsidR="00A07569" w:rsidRDefault="00AA319B">
      <w:pPr>
        <w:pStyle w:val="H23G"/>
      </w:pPr>
      <w:r>
        <w:tab/>
      </w:r>
      <w:r>
        <w:tab/>
        <w:t>Right to an adequate standard of living (art. 11)</w:t>
      </w:r>
    </w:p>
    <w:p w:rsidR="00A07569" w:rsidRDefault="00AA319B">
      <w:pPr>
        <w:pStyle w:val="H23G"/>
      </w:pPr>
      <w:r>
        <w:tab/>
      </w:r>
      <w:r>
        <w:tab/>
        <w:t>Right to physical and mental health (art. 12)</w:t>
      </w:r>
    </w:p>
    <w:p w:rsidR="00A07569" w:rsidRDefault="00AA319B">
      <w:pPr>
        <w:pStyle w:val="H23G"/>
      </w:pPr>
      <w:r>
        <w:tab/>
      </w:r>
      <w:r>
        <w:tab/>
        <w:t>Right to education (arts. 13-14)</w:t>
      </w:r>
    </w:p>
    <w:p w:rsidR="00A07569" w:rsidRDefault="00AA319B">
      <w:pPr>
        <w:pStyle w:val="H23G"/>
      </w:pPr>
      <w:r>
        <w:tab/>
      </w:r>
      <w:r>
        <w:tab/>
        <w:t>Cultural rights (art. 15)</w:t>
      </w:r>
    </w:p>
    <w:p w:rsidR="00A07569" w:rsidRDefault="00AA319B">
      <w:pPr>
        <w:spacing w:before="240"/>
        <w:ind w:left="1134" w:right="1134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A075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569" w:rsidRDefault="00A07569"/>
  </w:endnote>
  <w:endnote w:type="continuationSeparator" w:id="0">
    <w:p w:rsidR="00A07569" w:rsidRDefault="00A07569">
      <w:pPr>
        <w:pStyle w:val="Footer"/>
      </w:pPr>
    </w:p>
  </w:endnote>
  <w:endnote w:type="continuationNotice" w:id="1">
    <w:p w:rsidR="00A07569" w:rsidRDefault="00A07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07569">
      <w:tc>
        <w:tcPr>
          <w:tcW w:w="1848" w:type="dxa"/>
          <w:vAlign w:val="bottom"/>
        </w:tcPr>
        <w:p w:rsidR="00A07569" w:rsidRDefault="00AA319B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07569" w:rsidRDefault="00A07569">
          <w:pPr>
            <w:pStyle w:val="Footer"/>
            <w:jc w:val="right"/>
          </w:pPr>
        </w:p>
      </w:tc>
    </w:tr>
  </w:tbl>
  <w:p w:rsidR="00A07569" w:rsidRDefault="00AA319B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569" w:rsidRDefault="00AA319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07569" w:rsidRDefault="00AA319B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07569" w:rsidRDefault="00A07569">
      <w:pPr>
        <w:rPr>
          <w:sz w:val="2"/>
          <w:szCs w:val="2"/>
        </w:rPr>
      </w:pPr>
    </w:p>
  </w:footnote>
  <w:footnote w:id="2">
    <w:p w:rsidR="00A07569" w:rsidRDefault="00AA319B">
      <w:pPr>
        <w:pStyle w:val="FootnoteText"/>
        <w:rPr>
          <w:szCs w:val="18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 xml:space="preserve">Owing to the length of the present document, the footnotes are reproduced as received, in the language of submission only. </w:t>
      </w:r>
      <w:r>
        <w:rPr>
          <w:b/>
          <w:bCs/>
          <w:szCs w:val="18"/>
          <w:highlight w:val="yellow"/>
        </w:rPr>
        <w:t>[[Footnote not always included.]]</w:t>
      </w:r>
    </w:p>
    <w:p w:rsidR="00A07569" w:rsidRDefault="00A07569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Header"/>
      <w:jc w:val="right"/>
    </w:pPr>
    <w:r>
      <w:fldChar w:fldCharType="begin"/>
    </w:r>
    <w:r>
      <w:instrText xml:space="preserve"> DOCPROPERTY  symh  \* MERGE</w:instrText>
    </w:r>
    <w:r>
      <w:instrText xml:space="preserve">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07569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69"/>
    <w:rsid w:val="00A07569"/>
    <w:rsid w:val="00A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2017-11-03T08:31:00Z</dcterms:created>
  <dcterms:modified xsi:type="dcterms:W3CDTF">2018-03-23T13:42:00Z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