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149EE" w:rsidP="00E56EE3">
            <w:pPr>
              <w:jc w:val="right"/>
            </w:pPr>
            <w:r>
              <w:rPr>
                <w:sz w:val="40"/>
              </w:rPr>
              <w:t>E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9149EE" w:rsidP="009149EE">
            <w:pPr>
              <w:spacing w:before="120" w:line="420" w:lineRule="exact"/>
              <w:rPr>
                <w:b/>
                <w:sz w:val="34"/>
                <w:szCs w:val="34"/>
              </w:rPr>
            </w:pPr>
            <w:r>
              <w:rPr>
                <w:b/>
                <w:sz w:val="40"/>
                <w:szCs w:val="40"/>
              </w:rPr>
              <w:t>Consejo Económico y Social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A83440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9149EE" w:rsidP="001A4396">
      <w:pPr>
        <w:spacing w:before="120"/>
        <w:rPr>
          <w:b/>
          <w:sz w:val="24"/>
        </w:rPr>
      </w:pPr>
      <w:r w:rsidRPr="00180B8D">
        <w:rPr>
          <w:b/>
          <w:sz w:val="24"/>
        </w:rPr>
        <w:t>Comité de Derechos Económicos, Sociales y Culturales</w:t>
      </w:r>
    </w:p>
    <w:p w:rsidR="00E3142F" w:rsidRPr="008D7A16" w:rsidRDefault="00E3142F" w:rsidP="00E3142F">
      <w:pPr>
        <w:rPr>
          <w:b/>
          <w:lang w:val="en-GB"/>
        </w:rPr>
      </w:pPr>
      <w:r w:rsidRPr="008D7A16">
        <w:rPr>
          <w:b/>
          <w:lang w:val="es-ES_tradnl"/>
        </w:rPr>
        <w:t>Grupo de trabajo anterior al período de sesiones</w:t>
      </w:r>
    </w:p>
    <w:p w:rsidR="00E3142F" w:rsidRPr="007E2C6D" w:rsidRDefault="00E3142F" w:rsidP="00E3142F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3142F" w:rsidRDefault="00E3142F" w:rsidP="00E3142F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1A4396" w:rsidRDefault="001A4396" w:rsidP="00A83440">
      <w:pPr>
        <w:pStyle w:val="HChG"/>
        <w:rPr>
          <w:b w:val="0"/>
          <w:sz w:val="20"/>
          <w:lang w:val="es-ES_tradnl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A83440" w:rsidRPr="008D7A16">
        <w:rPr>
          <w:lang w:val="es-ES_tradnl"/>
        </w:rPr>
        <w:t>Lista de cuestiones relativ</w:t>
      </w:r>
      <w:bookmarkStart w:id="0" w:name="_GoBack"/>
      <w:bookmarkEnd w:id="0"/>
      <w:r w:rsidR="00A83440" w:rsidRPr="008D7A16">
        <w:rPr>
          <w:lang w:val="es-ES_tradnl"/>
        </w:rPr>
        <w:t>a</w:t>
      </w:r>
      <w:r w:rsidR="00A83440">
        <w:rPr>
          <w:lang w:val="es-ES_tradnl"/>
        </w:rPr>
        <w:t xml:space="preserve"> </w:t>
      </w:r>
      <w:r w:rsidR="00A83440">
        <w:rPr>
          <w:lang w:val="es-ES_tradnl"/>
        </w:rPr>
        <w:fldChar w:fldCharType="begin"/>
      </w:r>
      <w:r w:rsidR="00A83440">
        <w:rPr>
          <w:lang w:val="es-ES_tradnl"/>
        </w:rPr>
        <w:instrText xml:space="preserve"> DOCPROPERTY  prep  \* MERGEFORMAT </w:instrText>
      </w:r>
      <w:r w:rsidR="00A83440">
        <w:rPr>
          <w:lang w:val="es-ES_tradnl"/>
        </w:rPr>
        <w:fldChar w:fldCharType="separate"/>
      </w:r>
      <w:proofErr w:type="spellStart"/>
      <w:r w:rsidR="00A83440">
        <w:rPr>
          <w:lang w:val="es-ES_tradnl"/>
        </w:rPr>
        <w:t>prep</w:t>
      </w:r>
      <w:proofErr w:type="spellEnd"/>
      <w:r w:rsidR="00A83440">
        <w:rPr>
          <w:lang w:val="es-ES_tradnl"/>
        </w:rPr>
        <w:fldChar w:fldCharType="end"/>
      </w:r>
      <w:r w:rsidR="00A83440" w:rsidRPr="003B7231">
        <w:rPr>
          <w:b w:val="0"/>
          <w:sz w:val="20"/>
          <w:lang w:val="es-ES_tradnl"/>
        </w:rPr>
        <w:footnoteReference w:customMarkFollows="1" w:id="1"/>
        <w:t>*</w:t>
      </w:r>
    </w:p>
    <w:p w:rsidR="00A83440" w:rsidRPr="008D7A16" w:rsidRDefault="00A83440" w:rsidP="00A83440">
      <w:pPr>
        <w:pStyle w:val="H1G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8D7A16">
        <w:rPr>
          <w:lang w:val="es-ES_tradnl"/>
        </w:rPr>
        <w:t>Proyecto preparado por el grupo de trabajo</w:t>
      </w:r>
    </w:p>
    <w:p w:rsidR="00A83440" w:rsidRPr="008D7A16" w:rsidRDefault="00A83440" w:rsidP="00A83440">
      <w:pPr>
        <w:pStyle w:val="HChG"/>
        <w:rPr>
          <w:lang w:val="en-GB"/>
        </w:rPr>
      </w:pPr>
      <w:r w:rsidRPr="008D7A16">
        <w:rPr>
          <w:lang w:val="en-GB"/>
        </w:rPr>
        <w:tab/>
        <w:t>I.</w:t>
      </w:r>
      <w:r w:rsidRPr="008D7A16">
        <w:rPr>
          <w:lang w:val="en-GB"/>
        </w:rPr>
        <w:tab/>
      </w:r>
      <w:r w:rsidRPr="008D7A16">
        <w:rPr>
          <w:lang w:val="es-ES_tradnl"/>
        </w:rPr>
        <w:t>Información general</w:t>
      </w:r>
    </w:p>
    <w:p w:rsidR="00A83440" w:rsidRPr="008D7A16" w:rsidRDefault="00A83440" w:rsidP="00A83440">
      <w:pPr>
        <w:pStyle w:val="HChG"/>
        <w:rPr>
          <w:lang w:val="en-GB"/>
        </w:rPr>
      </w:pPr>
      <w:r w:rsidRPr="008D7A16">
        <w:rPr>
          <w:lang w:val="en-GB"/>
        </w:rPr>
        <w:tab/>
        <w:t xml:space="preserve">II. </w:t>
      </w:r>
      <w:r w:rsidRPr="008D7A16">
        <w:rPr>
          <w:lang w:val="en-GB"/>
        </w:rPr>
        <w:tab/>
      </w:r>
      <w:r w:rsidRPr="008D7A16">
        <w:rPr>
          <w:lang w:val="es-ES_tradnl"/>
        </w:rPr>
        <w:t>Cuestiones relativas a las disposiciones generales del</w:t>
      </w:r>
      <w:r>
        <w:rPr>
          <w:lang w:val="es-ES_tradnl"/>
        </w:rPr>
        <w:t> </w:t>
      </w:r>
      <w:r w:rsidRPr="008D7A16">
        <w:rPr>
          <w:lang w:val="es-ES_tradnl"/>
        </w:rPr>
        <w:t>Pacto</w:t>
      </w:r>
      <w:r>
        <w:rPr>
          <w:lang w:val="es-ES_tradnl"/>
        </w:rPr>
        <w:t> </w:t>
      </w:r>
      <w:r w:rsidRPr="008D7A16">
        <w:rPr>
          <w:lang w:val="es-ES_tradnl"/>
        </w:rPr>
        <w:t>(arts. 1 a 5)</w:t>
      </w:r>
    </w:p>
    <w:p w:rsidR="00A83440" w:rsidRPr="008D7A16" w:rsidRDefault="00A83440" w:rsidP="00A83440">
      <w:pPr>
        <w:pStyle w:val="H23G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 xml:space="preserve">Derecho a la libre disposición de las riquezas y los recursos naturales </w:t>
      </w:r>
      <w:r>
        <w:rPr>
          <w:lang w:val="es-ES_tradnl"/>
        </w:rPr>
        <w:br/>
      </w:r>
      <w:r w:rsidRPr="008D7A16">
        <w:rPr>
          <w:lang w:val="es-ES_tradnl"/>
        </w:rPr>
        <w:t>(art. 1, párr. 2)</w:t>
      </w:r>
    </w:p>
    <w:p w:rsidR="00A83440" w:rsidRPr="008D7A16" w:rsidRDefault="00A83440" w:rsidP="00A83440">
      <w:pPr>
        <w:pStyle w:val="H23G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Máximo de los recursos disponibles (art. 2, párr. 1)</w:t>
      </w:r>
    </w:p>
    <w:p w:rsidR="00A83440" w:rsidRPr="008D7A16" w:rsidRDefault="00A83440" w:rsidP="00A83440">
      <w:pPr>
        <w:pStyle w:val="H23G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No discriminación (art. 2, párr. 2)</w:t>
      </w:r>
    </w:p>
    <w:p w:rsidR="00A83440" w:rsidRPr="008D7A16" w:rsidRDefault="00A83440" w:rsidP="00A83440">
      <w:pPr>
        <w:pStyle w:val="H23G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Igualdad de derechos entre hombres y mujeres (art. 3)</w:t>
      </w:r>
    </w:p>
    <w:p w:rsidR="00A83440" w:rsidRPr="008D7A16" w:rsidRDefault="00A83440" w:rsidP="00A83440">
      <w:pPr>
        <w:pStyle w:val="HChG"/>
        <w:keepNext w:val="0"/>
        <w:keepLines w:val="0"/>
        <w:rPr>
          <w:lang w:val="en-GB"/>
        </w:rPr>
      </w:pPr>
      <w:r w:rsidRPr="008D7A16">
        <w:rPr>
          <w:lang w:val="en-GB"/>
        </w:rPr>
        <w:tab/>
        <w:t xml:space="preserve">III. </w:t>
      </w:r>
      <w:r w:rsidRPr="008D7A16">
        <w:rPr>
          <w:lang w:val="en-GB"/>
        </w:rPr>
        <w:tab/>
      </w:r>
      <w:r w:rsidRPr="008D7A16">
        <w:rPr>
          <w:lang w:val="es-ES_tradnl"/>
        </w:rPr>
        <w:t>Cuestiones relativas a disposiciones específicas</w:t>
      </w:r>
      <w:r>
        <w:rPr>
          <w:lang w:val="es-ES_tradnl"/>
        </w:rPr>
        <w:br/>
      </w:r>
      <w:r w:rsidRPr="008D7A16">
        <w:rPr>
          <w:lang w:val="es-ES_tradnl"/>
        </w:rPr>
        <w:t>del Pacto (arts. 6 a 15)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 a trabajar (art. 6)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 a condiciones de trabajo equitativas y satisfactorias (art. 7)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Derechos sindicales (art. 8)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 a la seguridad social (art. 9)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Protección de la familia y el niño (art. 10)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 a un nivel de vida adecuado (art. 11)</w:t>
      </w:r>
    </w:p>
    <w:p w:rsidR="00A83440" w:rsidRPr="008D7A16" w:rsidRDefault="00A83440" w:rsidP="00A83440">
      <w:pPr>
        <w:pStyle w:val="H23G"/>
        <w:keepNext w:val="0"/>
        <w:keepLines w:val="0"/>
        <w:rPr>
          <w:lang w:val="en-GB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 a la salud física y mental (art. 12)</w:t>
      </w:r>
    </w:p>
    <w:p w:rsidR="00A83440" w:rsidRPr="008D7A16" w:rsidRDefault="00A83440" w:rsidP="00A83440">
      <w:pPr>
        <w:pStyle w:val="H23G"/>
        <w:rPr>
          <w:lang w:val="en-GB"/>
        </w:rPr>
      </w:pPr>
      <w:r>
        <w:rPr>
          <w:lang w:val="es-ES_tradnl"/>
        </w:rPr>
        <w:lastRenderedPageBreak/>
        <w:tab/>
      </w:r>
      <w:r>
        <w:rPr>
          <w:lang w:val="es-ES_tradnl"/>
        </w:rPr>
        <w:tab/>
      </w:r>
      <w:r w:rsidRPr="008D7A16">
        <w:rPr>
          <w:lang w:val="es-ES_tradnl"/>
        </w:rPr>
        <w:t>Derecho a la educación (arts. 13 y 14)</w:t>
      </w:r>
    </w:p>
    <w:p w:rsidR="00A83440" w:rsidRDefault="00A83440" w:rsidP="00A83440">
      <w:pPr>
        <w:pStyle w:val="H23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D7A16">
        <w:rPr>
          <w:lang w:val="es-ES_tradnl"/>
        </w:rPr>
        <w:t>Derechos culturales (art. 15)</w:t>
      </w:r>
    </w:p>
    <w:p w:rsidR="00794179" w:rsidRPr="00A83440" w:rsidRDefault="00A83440" w:rsidP="00A83440">
      <w:pPr>
        <w:pStyle w:val="SingleTxtG"/>
        <w:suppressAutoHyphens/>
        <w:spacing w:before="240" w:after="0"/>
        <w:jc w:val="center"/>
        <w:rPr>
          <w:u w:val="single"/>
          <w:lang w:val="es-ES_tradnl"/>
        </w:rPr>
      </w:pPr>
      <w:r>
        <w:rPr>
          <w:u w:val="single"/>
          <w:lang w:val="es-ES_tradnl"/>
        </w:rPr>
        <w:tab/>
      </w:r>
      <w:r>
        <w:rPr>
          <w:u w:val="single"/>
          <w:lang w:val="es-ES_tradnl"/>
        </w:rPr>
        <w:tab/>
      </w:r>
      <w:r>
        <w:rPr>
          <w:u w:val="single"/>
          <w:lang w:val="es-ES_tradnl"/>
        </w:rPr>
        <w:tab/>
      </w:r>
    </w:p>
    <w:sectPr w:rsidR="00794179" w:rsidRPr="00A834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20E81F42-588F-49DA-90E3-A50A7FC6E4A4}"/>
    <w:embedBold r:id="rId2" w:fontKey="{031B85F1-51C9-4E2B-8A40-477CC5E0E970}"/>
    <w:embedItalic r:id="rId3" w:fontKey="{664347C1-BAA7-4468-B28D-18714AE6B7E6}"/>
    <w:embedBoldItalic r:id="rId4" w:fontKey="{345A402A-7794-4A18-AD6E-CACF8E95DC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C00AF588-4C11-4712-9DF8-30657A2AB5D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113634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A83440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A83440" w:rsidRPr="008D7A16" w:rsidRDefault="00A83440" w:rsidP="00A83440">
      <w:pPr>
        <w:pStyle w:val="FootnoteText"/>
      </w:pPr>
      <w:r w:rsidRPr="008D7A16">
        <w:tab/>
      </w:r>
      <w:r w:rsidRPr="003B7231">
        <w:rPr>
          <w:rStyle w:val="FootnoteReference"/>
          <w:sz w:val="20"/>
          <w:vertAlign w:val="baseline"/>
        </w:rPr>
        <w:t>*</w:t>
      </w:r>
      <w:r w:rsidRPr="008D7A16">
        <w:tab/>
      </w:r>
      <w:r w:rsidRPr="008D7A16">
        <w:rPr>
          <w:lang w:val="es-ES_tradnl"/>
        </w:rPr>
        <w:t>Debido a la longitud del presente documento, las notas de pie de página se reproducen en el idioma del original únicamente.</w:t>
      </w:r>
      <w:r w:rsidRPr="008D7A16">
        <w:t xml:space="preserve"> </w:t>
      </w:r>
      <w:r w:rsidRPr="003B7231">
        <w:rPr>
          <w:b/>
          <w:bCs/>
          <w:szCs w:val="18"/>
          <w:highlight w:val="yellow"/>
          <w:lang w:val="es-ES_tradnl" w:eastAsia="en-US"/>
        </w:rPr>
        <w:t>[[La nota no siempre se incluye.]]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13634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A308A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3440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27B3F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42F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BBA8A-8E33-452C-A40A-B215B8E90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227</Words>
  <Characters>1254</Characters>
  <Application>Microsoft Office Word</Application>
  <DocSecurity>0</DocSecurity>
  <Lines>10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2018-03-28T10:44:00Z</dcterms:created>
  <dcterms:modified xsi:type="dcterms:W3CDTF">2018-04-03T12:46:00Z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