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2B43B3">
        <w:trPr>
          <w:cantSplit/>
          <w:trHeight w:hRule="exact" w:val="851"/>
        </w:trPr>
        <w:tc>
          <w:tcPr>
            <w:tcW w:w="1276" w:type="dxa"/>
            <w:tcBorders>
              <w:bottom w:val="single" w:sz="4" w:space="0" w:color="auto"/>
            </w:tcBorders>
            <w:vAlign w:val="bottom"/>
          </w:tcPr>
          <w:p w:rsidR="002B43B3" w:rsidRDefault="002B43B3">
            <w:pPr>
              <w:spacing w:after="80"/>
            </w:pPr>
          </w:p>
        </w:tc>
        <w:tc>
          <w:tcPr>
            <w:tcW w:w="2268" w:type="dxa"/>
            <w:tcBorders>
              <w:bottom w:val="single" w:sz="4" w:space="0" w:color="auto"/>
            </w:tcBorders>
            <w:vAlign w:val="bottom"/>
          </w:tcPr>
          <w:p w:rsidR="002B43B3" w:rsidRDefault="00676FFF">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2B43B3" w:rsidRDefault="00676FFF">
            <w:pPr>
              <w:suppressAutoHyphens w:val="0"/>
              <w:spacing w:after="20"/>
              <w:jc w:val="right"/>
            </w:pPr>
            <w:r>
              <w:rPr>
                <w:sz w:val="40"/>
              </w:rPr>
              <w:t>E</w:t>
            </w:r>
            <w:bookmarkStart w:id="0" w:name="_GoBack"/>
            <w:bookmarkEnd w:id="0"/>
            <w:r>
              <w:t>/</w:t>
            </w:r>
            <w:proofErr w:type="spellStart"/>
            <w:r>
              <w:fldChar w:fldCharType="begin"/>
            </w:r>
            <w:r>
              <w:instrText xml:space="preserve"> DOCPROPERTY  sym1  \* MERGEFORMAT </w:instrText>
            </w:r>
            <w:r>
              <w:fldChar w:fldCharType="separate"/>
            </w:r>
            <w:r>
              <w:t>sym1</w:t>
            </w:r>
            <w:proofErr w:type="spellEnd"/>
            <w:r>
              <w:fldChar w:fldCharType="end"/>
            </w:r>
          </w:p>
        </w:tc>
      </w:tr>
      <w:tr w:rsidR="002B43B3">
        <w:trPr>
          <w:cantSplit/>
          <w:trHeight w:hRule="exact" w:val="2835"/>
        </w:trPr>
        <w:tc>
          <w:tcPr>
            <w:tcW w:w="1276" w:type="dxa"/>
            <w:tcBorders>
              <w:top w:val="single" w:sz="4" w:space="0" w:color="auto"/>
              <w:bottom w:val="single" w:sz="12" w:space="0" w:color="auto"/>
            </w:tcBorders>
          </w:tcPr>
          <w:p w:rsidR="002B43B3" w:rsidRDefault="00676FFF">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2B43B3" w:rsidRDefault="00676FFF">
            <w:pPr>
              <w:spacing w:before="120" w:line="380" w:lineRule="exact"/>
            </w:pPr>
            <w:r>
              <w:rPr>
                <w:b/>
                <w:sz w:val="40"/>
                <w:szCs w:val="40"/>
              </w:rPr>
              <w:t>Economic and Social Council</w:t>
            </w:r>
          </w:p>
        </w:tc>
        <w:tc>
          <w:tcPr>
            <w:tcW w:w="2835" w:type="dxa"/>
            <w:tcBorders>
              <w:top w:val="single" w:sz="4" w:space="0" w:color="auto"/>
              <w:bottom w:val="single" w:sz="12" w:space="0" w:color="auto"/>
            </w:tcBorders>
          </w:tcPr>
          <w:p w:rsidR="002B43B3" w:rsidRDefault="00676FFF">
            <w:pPr>
              <w:suppressAutoHyphens w:val="0"/>
              <w:spacing w:before="240" w:line="240" w:lineRule="exact"/>
              <w:rPr>
                <w:lang w:val="fr-CH"/>
              </w:rPr>
            </w:pPr>
            <w:proofErr w:type="spellStart"/>
            <w:r>
              <w:rPr>
                <w:lang w:val="fr-CH"/>
              </w:rPr>
              <w:t>Distr</w:t>
            </w:r>
            <w:proofErr w:type="spellEnd"/>
            <w:proofErr w:type="gramStart"/>
            <w:r>
              <w:rPr>
                <w:lang w:val="fr-CH"/>
              </w:rPr>
              <w:t>.:</w:t>
            </w:r>
            <w:proofErr w:type="gramEnd"/>
            <w:r>
              <w:rPr>
                <w:lang w:val="fr-CH"/>
              </w:rPr>
              <w:t xml:space="preserve"> </w:t>
            </w:r>
            <w:r>
              <w:fldChar w:fldCharType="begin"/>
            </w:r>
            <w:r>
              <w:rPr>
                <w:lang w:val="fr-CH"/>
              </w:rPr>
              <w:instrText xml:space="preserve"> DOCPROPERTY  dist  \* MERGEFORMAT </w:instrText>
            </w:r>
            <w:r>
              <w:fldChar w:fldCharType="separate"/>
            </w:r>
            <w:proofErr w:type="spellStart"/>
            <w:r>
              <w:rPr>
                <w:lang w:val="fr-CH"/>
              </w:rPr>
              <w:t>Dist</w:t>
            </w:r>
            <w:proofErr w:type="spellEnd"/>
            <w:r>
              <w:fldChar w:fldCharType="end"/>
            </w:r>
          </w:p>
          <w:p w:rsidR="002B43B3" w:rsidRDefault="00676FFF">
            <w:pPr>
              <w:suppressAutoHyphens w:val="0"/>
              <w:rPr>
                <w:lang w:val="fr-CH"/>
              </w:rPr>
            </w:pPr>
            <w:r>
              <w:fldChar w:fldCharType="begin"/>
            </w:r>
            <w:r>
              <w:rPr>
                <w:lang w:val="fr-CH"/>
              </w:rPr>
              <w:instrText xml:space="preserve"> DOCPROPERTY  date  \* MERGEFORMAT </w:instrText>
            </w:r>
            <w:r>
              <w:fldChar w:fldCharType="separate"/>
            </w:r>
            <w:proofErr w:type="gramStart"/>
            <w:r>
              <w:rPr>
                <w:lang w:val="fr-CH"/>
              </w:rPr>
              <w:t>date</w:t>
            </w:r>
            <w:proofErr w:type="gramEnd"/>
            <w:r>
              <w:fldChar w:fldCharType="end"/>
            </w:r>
          </w:p>
          <w:p w:rsidR="002B43B3" w:rsidRDefault="00676FFF">
            <w:pPr>
              <w:suppressAutoHyphens w:val="0"/>
              <w:rPr>
                <w:lang w:val="fr-CH"/>
              </w:rPr>
            </w:pPr>
            <w:r>
              <w:fldChar w:fldCharType="begin"/>
            </w:r>
            <w:r>
              <w:rPr>
                <w:lang w:val="fr-CH"/>
              </w:rPr>
              <w:instrText xml:space="preserve"> DOCPROPERTY  tlang  \* MERGEFORMAT </w:instrText>
            </w:r>
            <w:r>
              <w:fldChar w:fldCharType="separate"/>
            </w:r>
            <w:proofErr w:type="spellStart"/>
            <w:proofErr w:type="gramStart"/>
            <w:r>
              <w:rPr>
                <w:lang w:val="fr-CH"/>
              </w:rPr>
              <w:t>tlang</w:t>
            </w:r>
            <w:proofErr w:type="spellEnd"/>
            <w:proofErr w:type="gramEnd"/>
            <w:r>
              <w:fldChar w:fldCharType="end"/>
            </w:r>
          </w:p>
          <w:p w:rsidR="002B43B3" w:rsidRDefault="00676FFF">
            <w:pPr>
              <w:suppressAutoHyphens w:val="0"/>
              <w:rPr>
                <w:lang w:val="fr-CH"/>
              </w:rPr>
            </w:pPr>
            <w:proofErr w:type="gramStart"/>
            <w:r>
              <w:rPr>
                <w:lang w:val="fr-CH"/>
              </w:rPr>
              <w:t>Original:</w:t>
            </w:r>
            <w:proofErr w:type="gramEnd"/>
            <w:r>
              <w:rPr>
                <w:lang w:val="fr-CH"/>
              </w:rPr>
              <w:t xml:space="preserve"> </w:t>
            </w:r>
            <w:r>
              <w:fldChar w:fldCharType="begin"/>
            </w:r>
            <w:r>
              <w:rPr>
                <w:lang w:val="fr-CH"/>
              </w:rPr>
              <w:instrText xml:space="preserve"> DOCPROPERTY  olang  \* MERGEFORMAT </w:instrText>
            </w:r>
            <w:r>
              <w:fldChar w:fldCharType="separate"/>
            </w:r>
            <w:proofErr w:type="spellStart"/>
            <w:r>
              <w:rPr>
                <w:lang w:val="fr-CH"/>
              </w:rPr>
              <w:t>olang</w:t>
            </w:r>
            <w:proofErr w:type="spellEnd"/>
            <w:r>
              <w:fldChar w:fldCharType="end"/>
            </w:r>
          </w:p>
          <w:p w:rsidR="002B43B3" w:rsidRDefault="00676FFF">
            <w:pPr>
              <w:suppressAutoHyphens w:val="0"/>
              <w:rPr>
                <w:lang w:val="fr-CH"/>
              </w:rPr>
            </w:pPr>
            <w:r>
              <w:fldChar w:fldCharType="begin"/>
            </w:r>
            <w:r>
              <w:rPr>
                <w:lang w:val="fr-CH"/>
              </w:rPr>
              <w:instrText xml:space="preserve"> DOCPROPERTY  virs  \* MERGEFORMAT </w:instrText>
            </w:r>
            <w:r>
              <w:fldChar w:fldCharType="separate"/>
            </w:r>
            <w:proofErr w:type="spellStart"/>
            <w:proofErr w:type="gramStart"/>
            <w:r>
              <w:rPr>
                <w:lang w:val="fr-CH"/>
              </w:rPr>
              <w:t>virs</w:t>
            </w:r>
            <w:proofErr w:type="spellEnd"/>
            <w:proofErr w:type="gramEnd"/>
            <w:r>
              <w:fldChar w:fldCharType="end"/>
            </w:r>
          </w:p>
        </w:tc>
      </w:tr>
    </w:tbl>
    <w:p w:rsidR="002B43B3" w:rsidRDefault="00676FFF">
      <w:pPr>
        <w:spacing w:before="120"/>
        <w:rPr>
          <w:b/>
          <w:sz w:val="24"/>
        </w:rPr>
      </w:pPr>
      <w:r>
        <w:rPr>
          <w:b/>
          <w:sz w:val="24"/>
        </w:rPr>
        <w:t>Committee on Economic, Social and Cultural Rights</w:t>
      </w:r>
    </w:p>
    <w:p w:rsidR="002B43B3" w:rsidRDefault="00676FFF">
      <w:pPr>
        <w:pStyle w:val="HChG"/>
      </w:pPr>
      <w:r>
        <w:tab/>
      </w:r>
      <w:r>
        <w:tab/>
        <w:t xml:space="preserve">Concluding observations on the </w:t>
      </w:r>
      <w:r>
        <w:fldChar w:fldCharType="begin"/>
      </w:r>
      <w:r>
        <w:instrText xml:space="preserve"> DOCPROPERTY  prep </w:instrText>
      </w:r>
      <w:r>
        <w:instrText xml:space="preserve"> \* MERGEFORMAT </w:instrText>
      </w:r>
      <w:r>
        <w:fldChar w:fldCharType="separate"/>
      </w:r>
      <w:r>
        <w:t>prep</w:t>
      </w:r>
      <w:r>
        <w:fldChar w:fldCharType="end"/>
      </w:r>
      <w:r>
        <w:rPr>
          <w:b w:val="0"/>
          <w:bCs/>
          <w:sz w:val="20"/>
        </w:rPr>
        <w:footnoteReference w:customMarkFollows="1" w:id="2"/>
        <w:t>*</w:t>
      </w:r>
    </w:p>
    <w:p w:rsidR="002B43B3" w:rsidRDefault="00676FFF">
      <w:pPr>
        <w:pStyle w:val="SingleTxtG"/>
      </w:pPr>
      <w:r>
        <w:t>1.</w:t>
      </w:r>
      <w:r>
        <w:tab/>
        <w:t xml:space="preserve">The Committee considered the </w:t>
      </w:r>
      <w:r>
        <w:rPr>
          <w:color w:val="FF0000"/>
        </w:rPr>
        <w:t>[initial] [combined number periodic] [number periodic]</w:t>
      </w:r>
      <w:r>
        <w:t xml:space="preserve"> report</w:t>
      </w:r>
      <w:r>
        <w:rPr>
          <w:color w:val="FF0000"/>
        </w:rPr>
        <w:t xml:space="preserve">[s] </w:t>
      </w:r>
      <w:r>
        <w:t xml:space="preserve">of </w:t>
      </w:r>
      <w:r>
        <w:rPr>
          <w:color w:val="FF0000"/>
        </w:rPr>
        <w:t>country</w:t>
      </w:r>
      <w:r>
        <w:t xml:space="preserve"> (E/</w:t>
      </w:r>
      <w:proofErr w:type="spellStart"/>
      <w:r>
        <w:t>C.12</w:t>
      </w:r>
      <w:proofErr w:type="spellEnd"/>
      <w:r>
        <w:t>/</w:t>
      </w:r>
      <w:r>
        <w:rPr>
          <w:color w:val="FF0000"/>
        </w:rPr>
        <w:t>XXX</w:t>
      </w:r>
      <w:r>
        <w:t>/</w:t>
      </w:r>
      <w:r>
        <w:rPr>
          <w:color w:val="FF0000"/>
        </w:rPr>
        <w:t>Y</w:t>
      </w:r>
      <w:r>
        <w:t xml:space="preserve">) at its </w:t>
      </w:r>
      <w:r>
        <w:rPr>
          <w:color w:val="FF0000"/>
        </w:rPr>
        <w:t>number</w:t>
      </w:r>
      <w:r>
        <w:t xml:space="preserve"> and </w:t>
      </w:r>
      <w:r>
        <w:rPr>
          <w:color w:val="FF0000"/>
        </w:rPr>
        <w:t>number</w:t>
      </w:r>
      <w:r>
        <w:t xml:space="preserve"> meetings (see E/</w:t>
      </w:r>
      <w:proofErr w:type="spellStart"/>
      <w:r>
        <w:t>C.12</w:t>
      </w:r>
      <w:proofErr w:type="spellEnd"/>
      <w:r>
        <w:t>/2016/</w:t>
      </w:r>
      <w:proofErr w:type="spellStart"/>
      <w:r>
        <w:t>SR.</w:t>
      </w:r>
      <w:r>
        <w:rPr>
          <w:color w:val="FF0000"/>
        </w:rPr>
        <w:t>XXX</w:t>
      </w:r>
      <w:proofErr w:type="spellEnd"/>
      <w:r>
        <w:t xml:space="preserve"> and </w:t>
      </w:r>
      <w:r>
        <w:rPr>
          <w:color w:val="FF0000"/>
        </w:rPr>
        <w:t>XXX</w:t>
      </w:r>
      <w:r>
        <w:t xml:space="preserve">), held on </w:t>
      </w:r>
      <w:r>
        <w:rPr>
          <w:color w:val="FF0000"/>
        </w:rPr>
        <w:t xml:space="preserve">date </w:t>
      </w:r>
      <w:r>
        <w:t xml:space="preserve">and </w:t>
      </w:r>
      <w:r>
        <w:rPr>
          <w:color w:val="FF0000"/>
        </w:rPr>
        <w:t>date</w:t>
      </w:r>
      <w:r>
        <w:t xml:space="preserve">, and adopted the present concluding observations at its </w:t>
      </w:r>
      <w:r>
        <w:rPr>
          <w:color w:val="FF0000"/>
        </w:rPr>
        <w:t>number</w:t>
      </w:r>
      <w:r>
        <w:t xml:space="preserve"> meeting, held on </w:t>
      </w:r>
      <w:r>
        <w:rPr>
          <w:color w:val="FF0000"/>
        </w:rPr>
        <w:t>date</w:t>
      </w:r>
      <w:r>
        <w:t>.</w:t>
      </w:r>
    </w:p>
    <w:p w:rsidR="002B43B3" w:rsidRDefault="00676FFF">
      <w:pPr>
        <w:pStyle w:val="H1G"/>
      </w:pPr>
      <w:r>
        <w:tab/>
        <w:t>A.</w:t>
      </w:r>
      <w:r>
        <w:tab/>
        <w:t>Introduction</w:t>
      </w:r>
    </w:p>
    <w:p w:rsidR="002B43B3" w:rsidRDefault="00676FFF">
      <w:pPr>
        <w:pStyle w:val="H1G"/>
      </w:pPr>
      <w:r>
        <w:tab/>
        <w:t>B.</w:t>
      </w:r>
      <w:r>
        <w:tab/>
        <w:t>Positive aspects</w:t>
      </w:r>
    </w:p>
    <w:p w:rsidR="002B43B3" w:rsidRDefault="00676FFF">
      <w:pPr>
        <w:pStyle w:val="H1G"/>
      </w:pPr>
      <w:r>
        <w:tab/>
        <w:t>C.</w:t>
      </w:r>
      <w:r>
        <w:tab/>
        <w:t>Principal subjects of concern and recommendations</w:t>
      </w:r>
    </w:p>
    <w:p w:rsidR="002B43B3" w:rsidRDefault="00676FFF">
      <w:pPr>
        <w:pStyle w:val="H1G"/>
      </w:pPr>
      <w:r>
        <w:tab/>
        <w:t>D.</w:t>
      </w:r>
      <w:r>
        <w:tab/>
        <w:t>Other recommendations</w:t>
      </w:r>
    </w:p>
    <w:p w:rsidR="002B43B3" w:rsidRDefault="00676FFF">
      <w:pPr>
        <w:pStyle w:val="SingleTxtG"/>
        <w:rPr>
          <w:b/>
          <w:bCs/>
        </w:rPr>
      </w:pPr>
      <w:r>
        <w:t>2.</w:t>
      </w:r>
      <w:r>
        <w:tab/>
      </w:r>
      <w:r>
        <w:rPr>
          <w:b/>
          <w:bCs/>
        </w:rPr>
        <w:t xml:space="preserve">The Committee encourages the State party to ratify the Optional Protocol to the International Covenant on Economic, Social and Cultural Rights. </w:t>
      </w:r>
      <w:r>
        <w:rPr>
          <w:b/>
          <w:bCs/>
          <w:highlight w:val="yellow"/>
        </w:rPr>
        <w:t>[[If relevant.]]</w:t>
      </w:r>
    </w:p>
    <w:p w:rsidR="002B43B3" w:rsidRDefault="00676FFF">
      <w:pPr>
        <w:pStyle w:val="SingleTxtG"/>
        <w:rPr>
          <w:b/>
          <w:bCs/>
        </w:rPr>
      </w:pPr>
      <w:r>
        <w:t>3.</w:t>
      </w:r>
      <w:r>
        <w:tab/>
      </w:r>
      <w:r>
        <w:rPr>
          <w:b/>
          <w:bCs/>
        </w:rPr>
        <w:t xml:space="preserve">The Committee recommends that the State party consider ratifying </w:t>
      </w:r>
      <w:r>
        <w:rPr>
          <w:b/>
          <w:bCs/>
          <w:color w:val="FF0000"/>
        </w:rPr>
        <w:t>[</w:t>
      </w:r>
      <w:r>
        <w:rPr>
          <w:b/>
          <w:bCs/>
        </w:rPr>
        <w:t>the core human rights inst</w:t>
      </w:r>
      <w:r>
        <w:rPr>
          <w:b/>
          <w:bCs/>
        </w:rPr>
        <w:t>ruments to which it is not yet a party, namely</w:t>
      </w:r>
      <w:r>
        <w:rPr>
          <w:b/>
          <w:bCs/>
          <w:color w:val="FF0000"/>
        </w:rPr>
        <w:t>] title of instrument</w:t>
      </w:r>
      <w:r>
        <w:rPr>
          <w:b/>
          <w:bCs/>
        </w:rPr>
        <w:t>.</w:t>
      </w:r>
    </w:p>
    <w:p w:rsidR="002B43B3" w:rsidRDefault="00676FFF">
      <w:pPr>
        <w:pStyle w:val="SingleTxtG"/>
        <w:rPr>
          <w:b/>
          <w:bCs/>
        </w:rPr>
      </w:pPr>
      <w:r>
        <w:t>4.</w:t>
      </w:r>
      <w:r>
        <w:tab/>
      </w:r>
      <w:r>
        <w:rPr>
          <w:b/>
          <w:bCs/>
        </w:rPr>
        <w:t>The Committee recommends that the State party take fully into account its obligations under the Covenant and ensure the full enjoyment of the rights enshrined therein in the implementa</w:t>
      </w:r>
      <w:r>
        <w:rPr>
          <w:b/>
          <w:bCs/>
        </w:rPr>
        <w:t>tion of the 2030 Agenda for Sustainable Development at the national level, with international assistance and cooperation when needed. Achievement of the Sustainable Development Goals would be significantly facilitated by the State party establishing indepe</w:t>
      </w:r>
      <w:r>
        <w:rPr>
          <w:b/>
          <w:bCs/>
        </w:rPr>
        <w:t xml:space="preserve">ndent mechanisms to monitor progress and treating beneficiaries of public programmes as rights holders who can claim entitlements. Implementing the Goals </w:t>
      </w:r>
      <w:proofErr w:type="gramStart"/>
      <w:r>
        <w:rPr>
          <w:b/>
          <w:bCs/>
        </w:rPr>
        <w:t>on the basis of</w:t>
      </w:r>
      <w:proofErr w:type="gramEnd"/>
      <w:r>
        <w:rPr>
          <w:b/>
          <w:bCs/>
        </w:rPr>
        <w:t xml:space="preserve"> the principles of participation, accountability and non-discrimination would ensure th</w:t>
      </w:r>
      <w:r>
        <w:rPr>
          <w:b/>
          <w:bCs/>
        </w:rPr>
        <w:t>at no one is left behind.</w:t>
      </w:r>
    </w:p>
    <w:p w:rsidR="002B43B3" w:rsidRDefault="00676FFF">
      <w:pPr>
        <w:pStyle w:val="SingleTxtG"/>
        <w:rPr>
          <w:b/>
          <w:bCs/>
        </w:rPr>
      </w:pPr>
      <w:r>
        <w:t>5.</w:t>
      </w:r>
      <w:r>
        <w:tab/>
      </w:r>
      <w:r>
        <w:rPr>
          <w:b/>
          <w:bCs/>
        </w:rPr>
        <w:t xml:space="preserve">The Committee recommends that the State party take steps to progressively develop and apply appropriate indicators on the implementation of economic, social and cultural rights </w:t>
      </w:r>
      <w:proofErr w:type="gramStart"/>
      <w:r>
        <w:rPr>
          <w:b/>
          <w:bCs/>
        </w:rPr>
        <w:t>in order to</w:t>
      </w:r>
      <w:proofErr w:type="gramEnd"/>
      <w:r>
        <w:rPr>
          <w:b/>
          <w:bCs/>
        </w:rPr>
        <w:t xml:space="preserve"> facilitate the assessment of progress </w:t>
      </w:r>
      <w:r>
        <w:rPr>
          <w:b/>
          <w:bCs/>
        </w:rPr>
        <w:t>achieved by the State party in complying with its obligations under the Covenant for various segments of the population. In that context, the Committee refers the State party to, inter alia, the conceptual and methodological framework on human rights indic</w:t>
      </w:r>
      <w:r>
        <w:rPr>
          <w:b/>
          <w:bCs/>
        </w:rPr>
        <w:t xml:space="preserve">ators developed by the Office of the United Nations High Commissioner for Human Rights (see </w:t>
      </w:r>
      <w:proofErr w:type="spellStart"/>
      <w:r>
        <w:rPr>
          <w:b/>
          <w:bCs/>
        </w:rPr>
        <w:t>HRI</w:t>
      </w:r>
      <w:proofErr w:type="spellEnd"/>
      <w:r>
        <w:rPr>
          <w:b/>
          <w:bCs/>
        </w:rPr>
        <w:t>/MC/2008/3).</w:t>
      </w:r>
    </w:p>
    <w:p w:rsidR="002B43B3" w:rsidRDefault="00676FFF">
      <w:pPr>
        <w:pStyle w:val="SingleTxtG"/>
        <w:rPr>
          <w:b/>
          <w:bCs/>
        </w:rPr>
      </w:pPr>
      <w:r>
        <w:lastRenderedPageBreak/>
        <w:t>6.</w:t>
      </w:r>
      <w:r>
        <w:tab/>
      </w:r>
      <w:r>
        <w:rPr>
          <w:b/>
          <w:bCs/>
        </w:rPr>
        <w:t xml:space="preserve">The Committee requests that the State party disseminate the present concluding observations widely at all levels of society, including at the </w:t>
      </w:r>
      <w:r>
        <w:rPr>
          <w:b/>
          <w:bCs/>
          <w:color w:val="FF0000"/>
        </w:rPr>
        <w:t>[</w:t>
      </w:r>
      <w:r>
        <w:rPr>
          <w:b/>
          <w:bCs/>
        </w:rPr>
        <w:t>na</w:t>
      </w:r>
      <w:r>
        <w:rPr>
          <w:b/>
          <w:bCs/>
        </w:rPr>
        <w:t>tional, provincial and territorial</w:t>
      </w:r>
      <w:r>
        <w:rPr>
          <w:b/>
          <w:bCs/>
          <w:color w:val="FF0000"/>
        </w:rPr>
        <w:t xml:space="preserve">] </w:t>
      </w:r>
      <w:r>
        <w:rPr>
          <w:b/>
          <w:bCs/>
        </w:rPr>
        <w:t xml:space="preserve">levels, </w:t>
      </w:r>
      <w:proofErr w:type="gramStart"/>
      <w:r>
        <w:rPr>
          <w:b/>
          <w:bCs/>
        </w:rPr>
        <w:t>in particular among</w:t>
      </w:r>
      <w:proofErr w:type="gramEnd"/>
      <w:r>
        <w:rPr>
          <w:b/>
          <w:bCs/>
        </w:rPr>
        <w:t xml:space="preserve"> parliamentarians, public officials and judicial authorities, and that it inform the Committee in its next periodic report about the steps taken to implement them. The Committee encourages the </w:t>
      </w:r>
      <w:r>
        <w:rPr>
          <w:b/>
          <w:bCs/>
        </w:rPr>
        <w:t xml:space="preserve">State party to </w:t>
      </w:r>
      <w:r>
        <w:rPr>
          <w:b/>
          <w:bCs/>
          <w:color w:val="FF0000"/>
        </w:rPr>
        <w:t>[engage] [continue engaging]</w:t>
      </w:r>
      <w:r>
        <w:rPr>
          <w:b/>
          <w:bCs/>
        </w:rPr>
        <w:t xml:space="preserve"> with non-governmental organizations and other members of civil society</w:t>
      </w:r>
      <w:r>
        <w:rPr>
          <w:b/>
          <w:bCs/>
          <w:color w:val="FF0000"/>
        </w:rPr>
        <w:t>…</w:t>
      </w:r>
      <w:r>
        <w:rPr>
          <w:b/>
          <w:bCs/>
        </w:rPr>
        <w:t>, in the follow-up to the present concluding observations and in the process of consultation at the national level prior to the submission of</w:t>
      </w:r>
      <w:r>
        <w:rPr>
          <w:b/>
          <w:bCs/>
        </w:rPr>
        <w:t xml:space="preserve"> its next periodic report.</w:t>
      </w:r>
      <w:r>
        <w:rPr>
          <w:b/>
          <w:bCs/>
          <w:highlight w:val="yellow"/>
        </w:rPr>
        <w:t xml:space="preserve"> [[Exact wording may vary.]]</w:t>
      </w:r>
    </w:p>
    <w:p w:rsidR="002B43B3" w:rsidRDefault="00676FFF">
      <w:pPr>
        <w:pStyle w:val="SingleTxtG"/>
      </w:pPr>
      <w:r>
        <w:rPr>
          <w:color w:val="000000"/>
          <w:lang w:val="en-US" w:eastAsia="fr-FR"/>
        </w:rPr>
        <w:t>7.</w:t>
      </w:r>
      <w:r>
        <w:rPr>
          <w:color w:val="000000"/>
          <w:lang w:val="en-US" w:eastAsia="fr-FR"/>
        </w:rPr>
        <w:tab/>
      </w:r>
      <w:r>
        <w:rPr>
          <w:b/>
          <w:bCs/>
        </w:rPr>
        <w:t xml:space="preserve">The Committee requests the State party to submit its </w:t>
      </w:r>
      <w:r>
        <w:rPr>
          <w:b/>
          <w:bCs/>
          <w:color w:val="FF0000"/>
        </w:rPr>
        <w:t>number</w:t>
      </w:r>
      <w:r>
        <w:rPr>
          <w:b/>
          <w:bCs/>
        </w:rPr>
        <w:t xml:space="preserve"> periodic report, to be prepared in accordance with the reporting guidelines adopted by the Committee in 2008 (E/</w:t>
      </w:r>
      <w:proofErr w:type="spellStart"/>
      <w:r>
        <w:rPr>
          <w:b/>
          <w:bCs/>
        </w:rPr>
        <w:t>C.12</w:t>
      </w:r>
      <w:proofErr w:type="spellEnd"/>
      <w:r>
        <w:rPr>
          <w:b/>
          <w:bCs/>
        </w:rPr>
        <w:t xml:space="preserve">/2008/2), by </w:t>
      </w:r>
      <w:r>
        <w:rPr>
          <w:b/>
          <w:bCs/>
          <w:color w:val="FF0000"/>
        </w:rPr>
        <w:t>date</w:t>
      </w:r>
      <w:r>
        <w:rPr>
          <w:b/>
          <w:bCs/>
        </w:rPr>
        <w:t xml:space="preserve">. </w:t>
      </w:r>
      <w:r>
        <w:rPr>
          <w:b/>
          <w:bCs/>
          <w:highlight w:val="yellow"/>
        </w:rPr>
        <w:t>[[I</w:t>
      </w:r>
      <w:r>
        <w:rPr>
          <w:b/>
          <w:bCs/>
          <w:highlight w:val="yellow"/>
        </w:rPr>
        <w:t>f relevant:]]</w:t>
      </w:r>
      <w:r>
        <w:rPr>
          <w:b/>
          <w:bCs/>
        </w:rPr>
        <w:t xml:space="preserve"> In addition, it invites the State party to update its common core document, as necessary, in accordance with the harmonized guidelines on reporting under the international human rights treaties (see </w:t>
      </w:r>
      <w:proofErr w:type="spellStart"/>
      <w:r>
        <w:rPr>
          <w:b/>
          <w:bCs/>
        </w:rPr>
        <w:t>HRI</w:t>
      </w:r>
      <w:proofErr w:type="spellEnd"/>
      <w:r>
        <w:rPr>
          <w:b/>
          <w:bCs/>
        </w:rPr>
        <w:t>/GEN/2/</w:t>
      </w:r>
      <w:proofErr w:type="spellStart"/>
      <w:r>
        <w:rPr>
          <w:b/>
          <w:bCs/>
        </w:rPr>
        <w:t>Rev.6</w:t>
      </w:r>
      <w:proofErr w:type="spellEnd"/>
      <w:r>
        <w:rPr>
          <w:b/>
          <w:bCs/>
        </w:rPr>
        <w:t>, chap. I).</w:t>
      </w:r>
    </w:p>
    <w:sectPr w:rsidR="002B43B3">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3B3" w:rsidRDefault="002B43B3"/>
  </w:endnote>
  <w:endnote w:type="continuationSeparator" w:id="0">
    <w:p w:rsidR="002B43B3" w:rsidRDefault="002B43B3">
      <w:pPr>
        <w:pStyle w:val="Footer"/>
      </w:pPr>
    </w:p>
  </w:endnote>
  <w:endnote w:type="continuationNotice" w:id="1">
    <w:p w:rsidR="002B43B3" w:rsidRDefault="002B4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676FFF">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676FFF">
    <w:pPr>
      <w:pStyle w:val="Footer"/>
      <w:tabs>
        <w:tab w:val="right" w:pos="9639"/>
      </w:tabs>
      <w:rPr>
        <w:sz w:val="20"/>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1</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676FFF">
    <w:pPr>
      <w:pStyle w:val="Footer"/>
      <w:spacing w:before="120"/>
      <w:rPr>
        <w:noProof/>
        <w:sz w:val="20"/>
        <w:lang w:eastAsia="fr-FR"/>
      </w:rPr>
    </w:pPr>
    <w:r>
      <w:rPr>
        <w:noProof/>
        <w:sz w:val="20"/>
        <w:lang w:val="fr-CH" w:eastAsia="zh-CN"/>
      </w:rPr>
      <w:drawing>
        <wp:anchor distT="0" distB="0" distL="114300" distR="114300" simplePos="0" relativeHeight="251658240"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B43B3">
      <w:tc>
        <w:tcPr>
          <w:tcW w:w="1848" w:type="dxa"/>
          <w:vAlign w:val="bottom"/>
        </w:tcPr>
        <w:p w:rsidR="002B43B3" w:rsidRDefault="00676FFF">
          <w:pPr>
            <w:pStyle w:val="Footer"/>
            <w:spacing w:before="120" w:after="120"/>
            <w:jc w:val="right"/>
          </w:pPr>
          <w:r>
            <w:rPr>
              <w:noProof/>
              <w:sz w:val="20"/>
              <w:lang w:val="fr-CH" w:eastAsia="zh-CN"/>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2B43B3" w:rsidRDefault="002B43B3">
          <w:pPr>
            <w:pStyle w:val="Footer"/>
            <w:jc w:val="right"/>
          </w:pPr>
        </w:p>
      </w:tc>
    </w:tr>
  </w:tbl>
  <w:p w:rsidR="002B43B3" w:rsidRDefault="00676FFF">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3B3" w:rsidRDefault="00676FFF">
      <w:pPr>
        <w:pStyle w:val="Footer"/>
        <w:tabs>
          <w:tab w:val="right" w:pos="2155"/>
        </w:tabs>
        <w:spacing w:after="80" w:line="240" w:lineRule="atLeast"/>
        <w:ind w:left="680"/>
        <w:rPr>
          <w:u w:val="single"/>
        </w:rPr>
      </w:pPr>
      <w:r>
        <w:rPr>
          <w:u w:val="single"/>
        </w:rPr>
        <w:tab/>
      </w:r>
    </w:p>
  </w:footnote>
  <w:footnote w:type="continuationSeparator" w:id="0">
    <w:p w:rsidR="002B43B3" w:rsidRDefault="00676FFF">
      <w:pPr>
        <w:pStyle w:val="Footer"/>
        <w:tabs>
          <w:tab w:val="right" w:pos="2155"/>
        </w:tabs>
        <w:spacing w:after="80" w:line="240" w:lineRule="atLeast"/>
        <w:ind w:left="680"/>
        <w:rPr>
          <w:u w:val="single"/>
        </w:rPr>
      </w:pPr>
      <w:r>
        <w:rPr>
          <w:u w:val="single"/>
        </w:rPr>
        <w:tab/>
      </w:r>
    </w:p>
  </w:footnote>
  <w:footnote w:type="continuationNotice" w:id="1">
    <w:p w:rsidR="002B43B3" w:rsidRDefault="002B43B3">
      <w:pPr>
        <w:rPr>
          <w:sz w:val="2"/>
          <w:szCs w:val="2"/>
        </w:rPr>
      </w:pPr>
    </w:p>
  </w:footnote>
  <w:footnote w:id="2">
    <w:p w:rsidR="002B43B3" w:rsidRDefault="00676FFF">
      <w:pPr>
        <w:pStyle w:val="FootnoteText"/>
      </w:pPr>
      <w:r>
        <w:tab/>
        <w:t>*</w:t>
      </w:r>
      <w:r>
        <w:tab/>
        <w:t xml:space="preserve">Adopted by the Committee at its </w:t>
      </w:r>
      <w:r>
        <w:rPr>
          <w:color w:val="FF0000"/>
        </w:rPr>
        <w:t xml:space="preserve">number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676FFF">
    <w:pPr>
      <w:pStyle w:val="Header"/>
    </w:pPr>
    <w:r>
      <w:fldChar w:fldCharType="begin"/>
    </w:r>
    <w:r>
      <w:instrText xml:space="preserve"> DOCPROPERTY  </w:instrText>
    </w:r>
    <w:r>
      <w:instrText xml:space="preserve">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676FFF">
    <w:pPr>
      <w:pStyle w:val="Header"/>
      <w:jc w:val="right"/>
    </w:pPr>
    <w:r>
      <w:fldChar w:fldCharType="begin"/>
    </w:r>
    <w:r>
      <w:instrText xml:space="preserve"> DOCPROPERTY  symh  \* MERGEFORMAT </w:instrText>
    </w:r>
    <w:r>
      <w:fldChar w:fldCharType="separate"/>
    </w:r>
    <w:proofErr w:type="spellStart"/>
    <w:r>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2B43B3">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567"/>
  <w:hyphenationZone w:val="425"/>
  <w:evenAndOddHeaders/>
  <w:characterSpacingControl w:val="doNotCompress"/>
  <w:hdrShapeDefaults>
    <o:shapedefaults v:ext="edit" spidmax="7782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B3"/>
    <w:rsid w:val="002B43B3"/>
    <w:rsid w:val="00676FFF"/>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lang w:val="en-GB"/>
    </w:rPr>
  </w:style>
  <w:style w:type="paragraph" w:styleId="Footer">
    <w:name w:val="footer"/>
    <w:aliases w:val="3_G"/>
    <w:basedOn w:val="Normal"/>
    <w:link w:val="FooterChar"/>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Pr>
      <w:rFonts w:ascii="Times New Roman" w:hAnsi="Times New Roman"/>
      <w:sz w:val="18"/>
      <w:vertAlign w:val="superscript"/>
      <w:lang w:val="en-GB"/>
    </w:rPr>
  </w:style>
  <w:style w:type="character" w:styleId="EndnoteReference">
    <w:name w:val="endnote reference"/>
    <w:aliases w:val="1_G"/>
    <w:basedOn w:val="FootnoteReference"/>
    <w:qFormat/>
    <w:rPr>
      <w:rFonts w:ascii="Times New Roman" w:hAnsi="Times New Roman"/>
      <w:sz w:val="18"/>
      <w:vertAlign w:val="superscript"/>
      <w:lang w:val="en-GB"/>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Pr>
      <w:color w:val="0000FF"/>
      <w:u w:val="none"/>
    </w:rPr>
  </w:style>
  <w:style w:type="character" w:styleId="FollowedHyperlink">
    <w:name w:val="FollowedHyperlink"/>
    <w:basedOn w:val="DefaultParagraphFont"/>
    <w:semiHidden/>
    <w:rPr>
      <w:color w:val="0000FF"/>
      <w:u w:val="none"/>
    </w:rPr>
  </w:style>
  <w:style w:type="paragraph" w:styleId="FootnoteText">
    <w:name w:val="footnote text"/>
    <w:aliases w:val="5_G"/>
    <w:basedOn w:val="Normal"/>
    <w:link w:val="FootnoteTextCh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Pr>
      <w:rFonts w:ascii="Times New Roman" w:hAnsi="Times New Roman" w:cs="Times New Roman"/>
      <w:sz w:val="18"/>
      <w:szCs w:val="20"/>
      <w:lang w:val="en-GB"/>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lang w:val="en-GB"/>
    </w:rPr>
  </w:style>
  <w:style w:type="character" w:styleId="PageNumber">
    <w:name w:val="page number"/>
    <w:aliases w:val="7_G"/>
    <w:basedOn w:val="DefaultParagraphFont"/>
    <w:qFormat/>
    <w:rPr>
      <w:rFonts w:ascii="Times New Roman" w:hAnsi="Times New Roman"/>
      <w:b/>
      <w:sz w:val="18"/>
      <w:lang w:val="en-GB"/>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numbering" w:styleId="111111">
    <w:name w:val="Outline List 2"/>
    <w:basedOn w:val="NoList"/>
    <w:semiHidden/>
    <w:pPr>
      <w:numPr>
        <w:numId w:val="18"/>
      </w:numPr>
    </w:pPr>
  </w:style>
  <w:style w:type="numbering" w:styleId="1ai">
    <w:name w:val="Outline List 1"/>
    <w:basedOn w:val="NoList"/>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1GChar">
    <w:name w:val="_ H_1_G Char"/>
    <w:link w:val="H1G"/>
    <w:locked/>
    <w:rPr>
      <w:rFonts w:ascii="Times New Roman" w:hAnsi="Times New Roman" w:cs="Times New Roman"/>
      <w:b/>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565</Words>
  <Characters>3112</Characters>
  <Application>Microsoft Office Word</Application>
  <DocSecurity>0</DocSecurity>
  <Lines>25</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Gloria de la Rosa</cp:lastModifiedBy>
  <cp:revision>5</cp:revision>
  <cp:lastPrinted>2017-10-25T12:09:00Z</cp:lastPrinted>
  <dcterms:created xsi:type="dcterms:W3CDTF">2018-03-14T15:33:00Z</dcterms:created>
  <dcterms:modified xsi:type="dcterms:W3CDTF">2018-03-23T13:43:00Z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