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trPr>
          <w:cantSplit/>
          <w:trHeight w:hRule="exact" w:val="851"/>
        </w:trPr>
        <w:tc>
          <w:tcPr>
            <w:tcW w:w="1276" w:type="dxa"/>
            <w:tcBorders>
              <w:bottom w:val="single" w:sz="4" w:space="0" w:color="auto"/>
            </w:tcBorders>
            <w:vAlign w:val="bottom"/>
          </w:tcPr>
          <w:p>
            <w:pPr>
              <w:spacing w:after="80"/>
            </w:pPr>
            <w:bookmarkStart w:id="0" w:name="_GoBack"/>
            <w:bookmarkEnd w:id="0"/>
          </w:p>
        </w:tc>
        <w:tc>
          <w:tcPr>
            <w:tcW w:w="2268" w:type="dxa"/>
            <w:tcBorders>
              <w:bottom w:val="single" w:sz="4" w:space="0" w:color="auto"/>
            </w:tcBorders>
            <w:vAlign w:val="bottom"/>
          </w:tcPr>
          <w:p>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pPr>
              <w:suppressAutoHyphens w:val="0"/>
              <w:spacing w:after="20"/>
              <w:jc w:val="right"/>
            </w:pPr>
            <w:r>
              <w:rPr>
                <w:sz w:val="40"/>
              </w:rPr>
              <w:t>CMW</w:t>
            </w:r>
            <w:r>
              <w:t>/</w:t>
            </w:r>
            <w:fldSimple w:instr=" DOCPROPERTY  sym1  \* MERGEFORMAT ">
              <w:r>
                <w:t>sym1</w:t>
              </w:r>
            </w:fldSimple>
          </w:p>
        </w:tc>
      </w:tr>
      <w:tr>
        <w:trPr>
          <w:cantSplit/>
          <w:trHeight w:hRule="exact" w:val="2835"/>
        </w:trPr>
        <w:tc>
          <w:tcPr>
            <w:tcW w:w="1276" w:type="dxa"/>
            <w:tcBorders>
              <w:top w:val="single" w:sz="4" w:space="0" w:color="auto"/>
              <w:bottom w:val="single" w:sz="12" w:space="0" w:color="auto"/>
            </w:tcBorders>
          </w:tcPr>
          <w:p>
            <w:pPr>
              <w:spacing w:before="120"/>
              <w:jc w:val="center"/>
            </w:pPr>
            <w:r>
              <w:rPr>
                <w:noProof/>
                <w:lang w:val="fr-CH"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pPr>
              <w:spacing w:before="120" w:line="380" w:lineRule="exact"/>
            </w:pPr>
            <w:r>
              <w:rPr>
                <w:b/>
                <w:sz w:val="34"/>
                <w:szCs w:val="40"/>
              </w:rPr>
              <w:t>International Convention on the</w:t>
            </w:r>
            <w:r>
              <w:rPr>
                <w:b/>
                <w:sz w:val="34"/>
                <w:szCs w:val="40"/>
              </w:rPr>
              <w:br/>
              <w:t>Protection of the Rights of</w:t>
            </w:r>
            <w:r>
              <w:rPr>
                <w:b/>
                <w:sz w:val="34"/>
                <w:szCs w:val="40"/>
              </w:rPr>
              <w:br/>
              <w:t>All Migrant Workers and</w:t>
            </w:r>
            <w:r>
              <w:rPr>
                <w:b/>
                <w:sz w:val="34"/>
                <w:szCs w:val="40"/>
              </w:rPr>
              <w:br/>
              <w:t>Members of Their Families</w:t>
            </w:r>
          </w:p>
        </w:tc>
        <w:tc>
          <w:tcPr>
            <w:tcW w:w="2835" w:type="dxa"/>
            <w:tcBorders>
              <w:top w:val="single" w:sz="4" w:space="0" w:color="auto"/>
              <w:bottom w:val="single" w:sz="12" w:space="0" w:color="auto"/>
            </w:tcBorders>
          </w:tcPr>
          <w:p>
            <w:pPr>
              <w:suppressAutoHyphens w:val="0"/>
              <w:spacing w:before="240" w:line="240" w:lineRule="exact"/>
              <w:rPr>
                <w:lang w:val="fr-CH"/>
              </w:rPr>
            </w:pPr>
            <w:r>
              <w:rPr>
                <w:lang w:val="fr-CH"/>
              </w:rPr>
              <w:t xml:space="preserve">Distr.: </w:t>
            </w:r>
            <w:r>
              <w:fldChar w:fldCharType="begin"/>
            </w:r>
            <w:r>
              <w:rPr>
                <w:lang w:val="fr-CH"/>
              </w:rPr>
              <w:instrText xml:space="preserve"> DOCPROPERTY  dist  \* MERGEFORMAT </w:instrText>
            </w:r>
            <w:r>
              <w:fldChar w:fldCharType="separate"/>
            </w:r>
            <w:r>
              <w:rPr>
                <w:lang w:val="fr-CH"/>
              </w:rPr>
              <w:t>Dist</w:t>
            </w:r>
            <w:r>
              <w:fldChar w:fldCharType="end"/>
            </w:r>
          </w:p>
          <w:p>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pPr>
              <w:suppressAutoHyphens w:val="0"/>
              <w:rPr>
                <w:lang w:val="fr-CH"/>
              </w:rPr>
            </w:pPr>
            <w:r>
              <w:fldChar w:fldCharType="begin"/>
            </w:r>
            <w:r>
              <w:rPr>
                <w:lang w:val="fr-CH"/>
              </w:rPr>
              <w:instrText xml:space="preserve"> DOCPROPERTY  tlang  \* MERGEFORMAT </w:instrText>
            </w:r>
            <w:r>
              <w:fldChar w:fldCharType="separate"/>
            </w:r>
            <w:r>
              <w:rPr>
                <w:lang w:val="fr-CH"/>
              </w:rPr>
              <w:t>tlang</w:t>
            </w:r>
            <w:r>
              <w:fldChar w:fldCharType="end"/>
            </w:r>
          </w:p>
          <w:p>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r>
              <w:rPr>
                <w:lang w:val="fr-CH"/>
              </w:rPr>
              <w:t>olang</w:t>
            </w:r>
            <w:r>
              <w:fldChar w:fldCharType="end"/>
            </w:r>
          </w:p>
          <w:p>
            <w:pPr>
              <w:suppressAutoHyphens w:val="0"/>
              <w:rPr>
                <w:lang w:val="fr-CH"/>
              </w:rPr>
            </w:pPr>
            <w:r>
              <w:fldChar w:fldCharType="begin"/>
            </w:r>
            <w:r>
              <w:rPr>
                <w:lang w:val="fr-CH"/>
              </w:rPr>
              <w:instrText xml:space="preserve"> DOCPROPERTY  virs  \* MERGEFORMAT </w:instrText>
            </w:r>
            <w:r>
              <w:fldChar w:fldCharType="separate"/>
            </w:r>
            <w:r>
              <w:rPr>
                <w:lang w:val="fr-CH"/>
              </w:rPr>
              <w:t>virs</w:t>
            </w:r>
            <w:r>
              <w:fldChar w:fldCharType="end"/>
            </w:r>
          </w:p>
        </w:tc>
      </w:tr>
    </w:tbl>
    <w:p>
      <w:pPr>
        <w:spacing w:before="120"/>
        <w:rPr>
          <w:b/>
          <w:sz w:val="24"/>
        </w:rPr>
      </w:pPr>
      <w:r>
        <w:rPr>
          <w:b/>
          <w:sz w:val="24"/>
        </w:rPr>
        <w:t>Committee on the Protection of the Rights of All</w:t>
      </w:r>
      <w:r>
        <w:rPr>
          <w:b/>
          <w:sz w:val="24"/>
        </w:rPr>
        <w:br/>
        <w:t>Migrant Workers and Members of Their Families</w:t>
      </w:r>
    </w:p>
    <w:p>
      <w:pPr>
        <w:pStyle w:val="HChG"/>
      </w:pPr>
      <w:r>
        <w:tab/>
      </w:r>
      <w:r>
        <w:tab/>
        <w:t xml:space="preserve">Concluding observations on the </w:t>
      </w:r>
      <w:fldSimple w:instr=" DOCPROPERTY  prep  \* MERGEFORMAT ">
        <w:r>
          <w:t>prep</w:t>
        </w:r>
      </w:fldSimple>
      <w:r>
        <w:rPr>
          <w:b w:val="0"/>
          <w:sz w:val="20"/>
        </w:rPr>
        <w:footnoteReference w:customMarkFollows="1" w:id="2"/>
        <w:t>*</w:t>
      </w:r>
    </w:p>
    <w:p>
      <w:pPr>
        <w:pStyle w:val="SingleTxtG"/>
      </w:pPr>
      <w:r>
        <w:t>1.</w:t>
      </w:r>
      <w:r>
        <w:tab/>
        <w:t xml:space="preserve">The Committee considered the </w:t>
      </w:r>
      <w:r>
        <w:rPr>
          <w:color w:val="FF0000"/>
        </w:rPr>
        <w:t>[initial] [combined number periodic] [number periodic]</w:t>
      </w:r>
      <w:r>
        <w:t xml:space="preserve"> report</w:t>
      </w:r>
      <w:r>
        <w:rPr>
          <w:color w:val="FF0000"/>
        </w:rPr>
        <w:t>s</w:t>
      </w:r>
      <w:r>
        <w:t xml:space="preserve"> of </w:t>
      </w:r>
      <w:r>
        <w:rPr>
          <w:color w:val="FF0000"/>
        </w:rPr>
        <w:t>country</w:t>
      </w:r>
      <w:r>
        <w:t xml:space="preserve"> (CMW/C/</w:t>
      </w:r>
      <w:r>
        <w:rPr>
          <w:color w:val="FF0000"/>
        </w:rPr>
        <w:t>XXX</w:t>
      </w:r>
      <w:r>
        <w:t xml:space="preserve">/1) at its </w:t>
      </w:r>
      <w:r>
        <w:rPr>
          <w:color w:val="FF0000"/>
        </w:rPr>
        <w:t>number</w:t>
      </w:r>
      <w:r>
        <w:t xml:space="preserve"> and </w:t>
      </w:r>
      <w:r>
        <w:rPr>
          <w:color w:val="FF0000"/>
        </w:rPr>
        <w:t>number</w:t>
      </w:r>
      <w:r>
        <w:t xml:space="preserve"> meetings (see CMW/C/SR.</w:t>
      </w:r>
      <w:r>
        <w:rPr>
          <w:color w:val="FF0000"/>
        </w:rPr>
        <w:t>XXX</w:t>
      </w:r>
      <w:r>
        <w:t xml:space="preserve"> and </w:t>
      </w:r>
      <w:r>
        <w:rPr>
          <w:color w:val="FF0000"/>
        </w:rPr>
        <w:t>XXX</w:t>
      </w:r>
      <w:r>
        <w:t xml:space="preserve">), held on </w:t>
      </w:r>
      <w:r>
        <w:rPr>
          <w:color w:val="FF0000"/>
        </w:rPr>
        <w:t>date</w:t>
      </w:r>
      <w:r>
        <w:t xml:space="preserve"> and </w:t>
      </w:r>
      <w:r>
        <w:rPr>
          <w:color w:val="FF0000"/>
        </w:rPr>
        <w:t>date</w:t>
      </w:r>
      <w:r>
        <w:t xml:space="preserve">. At its </w:t>
      </w:r>
      <w:r>
        <w:rPr>
          <w:color w:val="FF0000"/>
        </w:rPr>
        <w:t>number</w:t>
      </w:r>
      <w:r>
        <w:t xml:space="preserve"> meeting, held on </w:t>
      </w:r>
      <w:r>
        <w:rPr>
          <w:color w:val="FF0000"/>
        </w:rPr>
        <w:t>date</w:t>
      </w:r>
      <w:r>
        <w:t xml:space="preserve">, it adopted the present concluding observations. </w:t>
      </w:r>
    </w:p>
    <w:p>
      <w:pPr>
        <w:pStyle w:val="H1G"/>
      </w:pPr>
      <w:r>
        <w:tab/>
        <w:t>A.</w:t>
      </w:r>
      <w:r>
        <w:tab/>
        <w:t>Introduction</w:t>
      </w:r>
    </w:p>
    <w:p>
      <w:pPr>
        <w:pStyle w:val="SingleTxtG"/>
      </w:pPr>
      <w:r>
        <w:t>2.</w:t>
      </w:r>
      <w:r>
        <w:tab/>
        <w:t xml:space="preserve">The Committee welcomes the submission of the </w:t>
      </w:r>
      <w:r>
        <w:rPr>
          <w:color w:val="FF0000"/>
        </w:rPr>
        <w:t>[initial] [combined number periodic] [number periodic]</w:t>
      </w:r>
      <w:r>
        <w:t xml:space="preserve"> report</w:t>
      </w:r>
      <w:r>
        <w:rPr>
          <w:color w:val="FF0000"/>
        </w:rPr>
        <w:t>s</w:t>
      </w:r>
      <w:r>
        <w:t xml:space="preserve"> of the State party, which </w:t>
      </w:r>
      <w:r>
        <w:rPr>
          <w:color w:val="FF0000"/>
        </w:rPr>
        <w:t>[was] [were]</w:t>
      </w:r>
      <w:r>
        <w:t xml:space="preserve"> prepared in response to the list of issues </w:t>
      </w:r>
      <w:r>
        <w:rPr>
          <w:color w:val="FF0000"/>
        </w:rPr>
        <w:t>[</w:t>
      </w:r>
      <w:r>
        <w:t>prior to reporting</w:t>
      </w:r>
      <w:r>
        <w:rPr>
          <w:color w:val="FF0000"/>
        </w:rPr>
        <w:t>]</w:t>
      </w:r>
      <w:r>
        <w:t xml:space="preserve"> (</w:t>
      </w:r>
      <w:r>
        <w:rPr>
          <w:color w:val="FF0000"/>
        </w:rPr>
        <w:t>[</w:t>
      </w:r>
      <w:r>
        <w:t>CMW/C/</w:t>
      </w:r>
      <w:r>
        <w:rPr>
          <w:color w:val="FF0000"/>
        </w:rPr>
        <w:t>XXX</w:t>
      </w:r>
      <w:r>
        <w:t>/Q/1</w:t>
      </w:r>
      <w:r>
        <w:rPr>
          <w:color w:val="FF0000"/>
        </w:rPr>
        <w:t>]</w:t>
      </w:r>
      <w:r>
        <w:t xml:space="preserve"> </w:t>
      </w:r>
      <w:r>
        <w:rPr>
          <w:color w:val="FF0000"/>
        </w:rPr>
        <w:t>[</w:t>
      </w:r>
      <w:r>
        <w:t>CMW/C/</w:t>
      </w:r>
      <w:r>
        <w:rPr>
          <w:color w:val="FF0000"/>
        </w:rPr>
        <w:t>XXX</w:t>
      </w:r>
      <w:r>
        <w:t>/QPR/</w:t>
      </w:r>
      <w:r>
        <w:rPr>
          <w:color w:val="FF0000"/>
        </w:rPr>
        <w:t>Y]</w:t>
      </w:r>
      <w:r>
        <w:t xml:space="preserve">). The Committee appreciates the open and constructive dialogue held with the </w:t>
      </w:r>
      <w:r>
        <w:rPr>
          <w:color w:val="FF0000"/>
        </w:rPr>
        <w:t>[</w:t>
      </w:r>
      <w:r>
        <w:t>high-level</w:t>
      </w:r>
      <w:r>
        <w:rPr>
          <w:color w:val="FF0000"/>
        </w:rPr>
        <w:t>]</w:t>
      </w:r>
      <w:r>
        <w:t xml:space="preserve"> delegation </w:t>
      </w:r>
      <w:r>
        <w:rPr>
          <w:color w:val="FF0000"/>
        </w:rPr>
        <w:t>…</w:t>
      </w:r>
      <w:r>
        <w:t>.</w:t>
      </w:r>
    </w:p>
    <w:p>
      <w:pPr>
        <w:pStyle w:val="H1G"/>
      </w:pPr>
      <w:r>
        <w:tab/>
        <w:t>B.</w:t>
      </w:r>
      <w:r>
        <w:tab/>
        <w:t>Positive aspects</w:t>
      </w:r>
    </w:p>
    <w:p>
      <w:pPr>
        <w:pStyle w:val="SingleTxtG"/>
      </w:pPr>
      <w:r>
        <w:t>4.</w:t>
      </w:r>
      <w:r>
        <w:tab/>
        <w:t xml:space="preserve">The Committee notes with appreciation the ratification of or accession to the following instruments: </w:t>
      </w:r>
    </w:p>
    <w:p>
      <w:pPr>
        <w:pStyle w:val="SingleTxtG"/>
      </w:pPr>
      <w:r>
        <w:tab/>
        <w:t>(a)</w:t>
      </w:r>
      <w:r>
        <w:tab/>
        <w:t xml:space="preserve">The </w:t>
      </w:r>
      <w:r>
        <w:rPr>
          <w:color w:val="FF0000"/>
        </w:rPr>
        <w:t>…</w:t>
      </w:r>
      <w:r>
        <w:t xml:space="preserve">, on </w:t>
      </w:r>
      <w:r>
        <w:rPr>
          <w:color w:val="FF0000"/>
        </w:rPr>
        <w:t>date</w:t>
      </w:r>
      <w:r>
        <w:t xml:space="preserve">; </w:t>
      </w:r>
    </w:p>
    <w:p>
      <w:pPr>
        <w:pStyle w:val="SingleTxtG"/>
      </w:pPr>
      <w:r>
        <w:tab/>
        <w:t>(b)</w:t>
      </w:r>
      <w:r>
        <w:tab/>
      </w:r>
      <w:r>
        <w:rPr>
          <w:color w:val="FF0000"/>
        </w:rPr>
        <w:t>…</w:t>
      </w:r>
      <w:r>
        <w:t>.</w:t>
      </w:r>
    </w:p>
    <w:p>
      <w:pPr>
        <w:pStyle w:val="SingleTxtG"/>
      </w:pPr>
      <w:r>
        <w:t>5.</w:t>
      </w:r>
      <w:r>
        <w:tab/>
        <w:t xml:space="preserve">The Committee welcomes the adoption of the following legislative measures: </w:t>
      </w:r>
    </w:p>
    <w:p>
      <w:pPr>
        <w:pStyle w:val="SingleTxtG"/>
      </w:pPr>
      <w:r>
        <w:tab/>
        <w:t>(a)</w:t>
      </w:r>
      <w:r>
        <w:tab/>
        <w:t xml:space="preserve">The </w:t>
      </w:r>
      <w:r>
        <w:rPr>
          <w:color w:val="FF0000"/>
        </w:rPr>
        <w:t>…</w:t>
      </w:r>
      <w:r>
        <w:t>;</w:t>
      </w:r>
    </w:p>
    <w:p>
      <w:pPr>
        <w:pStyle w:val="SingleTxtG"/>
      </w:pPr>
      <w:r>
        <w:tab/>
        <w:t>(b)</w:t>
      </w:r>
      <w:r>
        <w:tab/>
      </w:r>
      <w:r>
        <w:rPr>
          <w:color w:val="FF0000"/>
        </w:rPr>
        <w:t>…</w:t>
      </w:r>
      <w:r>
        <w:t>.</w:t>
      </w:r>
    </w:p>
    <w:p>
      <w:pPr>
        <w:pStyle w:val="SingleTxtG"/>
      </w:pPr>
      <w:r>
        <w:t>6.</w:t>
      </w:r>
      <w:r>
        <w:tab/>
        <w:t xml:space="preserve">The Committee also welcomes the following </w:t>
      </w:r>
      <w:r>
        <w:rPr>
          <w:color w:val="FF0000"/>
        </w:rPr>
        <w:t>[</w:t>
      </w:r>
      <w:r>
        <w:t>institutional and</w:t>
      </w:r>
      <w:r>
        <w:rPr>
          <w:color w:val="FF0000"/>
        </w:rPr>
        <w:t>]</w:t>
      </w:r>
      <w:r>
        <w:t xml:space="preserve"> policy measures:</w:t>
      </w:r>
    </w:p>
    <w:p>
      <w:pPr>
        <w:pStyle w:val="SingleTxtG"/>
      </w:pPr>
      <w:r>
        <w:tab/>
        <w:t>(a)</w:t>
      </w:r>
      <w:r>
        <w:tab/>
        <w:t xml:space="preserve">The </w:t>
      </w:r>
      <w:r>
        <w:rPr>
          <w:color w:val="FF0000"/>
        </w:rPr>
        <w:t>…</w:t>
      </w:r>
      <w:r>
        <w:t xml:space="preserve">; </w:t>
      </w:r>
    </w:p>
    <w:p>
      <w:pPr>
        <w:pStyle w:val="SingleTxtG"/>
      </w:pPr>
      <w:r>
        <w:tab/>
        <w:t>(b)</w:t>
      </w:r>
      <w:r>
        <w:tab/>
      </w:r>
      <w:r>
        <w:rPr>
          <w:color w:val="FF0000"/>
        </w:rPr>
        <w:t>…</w:t>
      </w:r>
      <w:r>
        <w:t>.</w:t>
      </w:r>
    </w:p>
    <w:p>
      <w:pPr>
        <w:pStyle w:val="H1G"/>
      </w:pPr>
      <w:r>
        <w:lastRenderedPageBreak/>
        <w:tab/>
        <w:t>C.</w:t>
      </w:r>
      <w:r>
        <w:tab/>
        <w:t xml:space="preserve">Factors and difficulties impeding the implementation of the Convention </w:t>
      </w:r>
      <w:r>
        <w:rPr>
          <w:highlight w:val="yellow"/>
        </w:rPr>
        <w:t>[[Not always included.]]</w:t>
      </w:r>
    </w:p>
    <w:p>
      <w:pPr>
        <w:pStyle w:val="H1G"/>
      </w:pPr>
      <w:r>
        <w:tab/>
        <w:t>D.</w:t>
      </w:r>
      <w:r>
        <w:tab/>
        <w:t xml:space="preserve">Principal subjects of concern and recommendations </w:t>
      </w:r>
      <w:r>
        <w:rPr>
          <w:highlight w:val="yellow"/>
        </w:rPr>
        <w:t>[[Not all subheadings and standard paragraphs are included in all concluding observations.]]</w:t>
      </w:r>
    </w:p>
    <w:p>
      <w:pPr>
        <w:pStyle w:val="H23G"/>
      </w:pPr>
      <w:r>
        <w:tab/>
        <w:t>1.</w:t>
      </w:r>
      <w:r>
        <w:tab/>
        <w:t>General measures of implementation (arts. 73 and 84)</w:t>
      </w:r>
    </w:p>
    <w:p>
      <w:pPr>
        <w:pStyle w:val="H23G"/>
      </w:pPr>
      <w:r>
        <w:tab/>
      </w:r>
      <w:r>
        <w:tab/>
        <w:t>Legislation and application</w:t>
      </w:r>
    </w:p>
    <w:p>
      <w:pPr>
        <w:pStyle w:val="H23G"/>
      </w:pPr>
      <w:r>
        <w:tab/>
      </w:r>
      <w:r>
        <w:tab/>
        <w:t>Articles 76-77</w:t>
      </w:r>
    </w:p>
    <w:p>
      <w:pPr>
        <w:pStyle w:val="H23G"/>
      </w:pPr>
      <w:r>
        <w:tab/>
      </w:r>
      <w:r>
        <w:tab/>
        <w:t>Ratification of relevant instruments</w:t>
      </w:r>
    </w:p>
    <w:p>
      <w:pPr>
        <w:pStyle w:val="SingleTxtG"/>
      </w:pPr>
      <w:r>
        <w:t>12.</w:t>
      </w:r>
      <w:r>
        <w:tab/>
      </w:r>
      <w:r>
        <w:rPr>
          <w:b/>
        </w:rPr>
        <w:t>The Committee recommends that the State party consider ratifying or acceding to the above instruments as soon as possible.</w:t>
      </w:r>
    </w:p>
    <w:p>
      <w:pPr>
        <w:pStyle w:val="H23G"/>
      </w:pPr>
      <w:r>
        <w:tab/>
      </w:r>
      <w:r>
        <w:tab/>
        <w:t>Comprehensive policy and strategy</w:t>
      </w:r>
    </w:p>
    <w:p>
      <w:pPr>
        <w:pStyle w:val="H23G"/>
      </w:pPr>
      <w:r>
        <w:tab/>
      </w:r>
      <w:r>
        <w:tab/>
        <w:t>Coordination</w:t>
      </w:r>
    </w:p>
    <w:p>
      <w:pPr>
        <w:pStyle w:val="H23G"/>
      </w:pPr>
      <w:r>
        <w:tab/>
      </w:r>
      <w:r>
        <w:tab/>
        <w:t>Data collection</w:t>
      </w:r>
    </w:p>
    <w:p>
      <w:pPr>
        <w:pStyle w:val="SingleTxtG"/>
      </w:pPr>
      <w:r>
        <w:t>18.</w:t>
      </w:r>
      <w:r>
        <w:tab/>
      </w:r>
      <w:r>
        <w:rPr>
          <w:b/>
        </w:rPr>
        <w:t xml:space="preserve">The Committee recommends that the State party establish </w:t>
      </w:r>
      <w:r>
        <w:rPr>
          <w:b/>
          <w:color w:val="FF0000"/>
        </w:rPr>
        <w:t>[</w:t>
      </w:r>
      <w:r>
        <w:rPr>
          <w:b/>
        </w:rPr>
        <w:t>, as a matter of urgency,</w:t>
      </w:r>
      <w:r>
        <w:rPr>
          <w:b/>
          <w:color w:val="FF0000"/>
        </w:rPr>
        <w:t>]</w:t>
      </w:r>
      <w:r>
        <w:rPr>
          <w:b/>
        </w:rPr>
        <w:t xml:space="preserve"> a comprehensive system for </w:t>
      </w:r>
      <w:r>
        <w:rPr>
          <w:b/>
          <w:color w:val="FF0000"/>
        </w:rPr>
        <w:t>[</w:t>
      </w:r>
      <w:r>
        <w:rPr>
          <w:b/>
        </w:rPr>
        <w:t>collecting data on migration</w:t>
      </w:r>
      <w:r>
        <w:rPr>
          <w:b/>
          <w:color w:val="FF0000"/>
        </w:rPr>
        <w:t>]</w:t>
      </w:r>
      <w:r>
        <w:rPr>
          <w:b/>
          <w:highlight w:val="yellow"/>
        </w:rPr>
        <w:t xml:space="preserve"> [[Exact wording may vary.]]</w:t>
      </w:r>
      <w:r>
        <w:rPr>
          <w:b/>
        </w:rPr>
        <w:t xml:space="preserve"> covering all aspects of the Convention, including on migrant workers in the State party and in an irregular situation </w:t>
      </w:r>
      <w:r>
        <w:rPr>
          <w:b/>
          <w:color w:val="FF0000"/>
        </w:rPr>
        <w:t>…</w:t>
      </w:r>
      <w:r>
        <w:rPr>
          <w:b/>
        </w:rPr>
        <w:t xml:space="preserve">. The Committee encourages the State party to compile information and statistics disaggregated by sex, age, nationality, migratory status </w:t>
      </w:r>
      <w:r>
        <w:rPr>
          <w:b/>
          <w:highlight w:val="yellow"/>
        </w:rPr>
        <w:t>[[Exact wording may vary.]]</w:t>
      </w:r>
      <w:r>
        <w:rPr>
          <w:b/>
        </w:rPr>
        <w:t xml:space="preserve">, reasons for entry to and departure from the country and type of work performed, </w:t>
      </w:r>
      <w:r>
        <w:rPr>
          <w:b/>
          <w:color w:val="FF0000"/>
        </w:rPr>
        <w:t>…</w:t>
      </w:r>
      <w:r>
        <w:rPr>
          <w:b/>
        </w:rPr>
        <w:t xml:space="preserve"> in line with target 17.18 of the Sustainable Development Goals.</w:t>
      </w:r>
    </w:p>
    <w:p>
      <w:pPr>
        <w:pStyle w:val="H23G"/>
      </w:pPr>
      <w:r>
        <w:tab/>
      </w:r>
      <w:r>
        <w:tab/>
        <w:t>Independent monitoring</w:t>
      </w:r>
    </w:p>
    <w:p>
      <w:pPr>
        <w:pStyle w:val="H23G"/>
      </w:pPr>
      <w:r>
        <w:tab/>
      </w:r>
      <w:r>
        <w:tab/>
        <w:t>Training on and dissemination of information about the Convention</w:t>
      </w:r>
    </w:p>
    <w:p>
      <w:pPr>
        <w:pStyle w:val="H23G"/>
      </w:pPr>
      <w:r>
        <w:tab/>
      </w:r>
      <w:r>
        <w:tab/>
        <w:t>Participation of civil society</w:t>
      </w:r>
    </w:p>
    <w:p>
      <w:pPr>
        <w:pStyle w:val="H23G"/>
      </w:pPr>
      <w:r>
        <w:tab/>
      </w:r>
      <w:r>
        <w:tab/>
        <w:t>Corruption</w:t>
      </w:r>
    </w:p>
    <w:p>
      <w:pPr>
        <w:pStyle w:val="H23G"/>
      </w:pPr>
      <w:r>
        <w:tab/>
        <w:t>2.</w:t>
      </w:r>
      <w:r>
        <w:tab/>
        <w:t>General principles (arts. 7 and 83)</w:t>
      </w:r>
    </w:p>
    <w:p>
      <w:pPr>
        <w:pStyle w:val="H23G"/>
      </w:pPr>
      <w:r>
        <w:tab/>
      </w:r>
      <w:r>
        <w:tab/>
        <w:t xml:space="preserve">Non-discrimination </w:t>
      </w:r>
    </w:p>
    <w:p>
      <w:pPr>
        <w:pStyle w:val="H23G"/>
      </w:pPr>
      <w:r>
        <w:tab/>
      </w:r>
      <w:r>
        <w:tab/>
        <w:t xml:space="preserve">Right to an effective remedy </w:t>
      </w:r>
    </w:p>
    <w:p>
      <w:pPr>
        <w:pStyle w:val="SingleTxtG"/>
        <w:rPr>
          <w:b/>
        </w:rPr>
      </w:pPr>
      <w:r>
        <w:t>26.</w:t>
      </w:r>
      <w:r>
        <w:tab/>
      </w:r>
      <w:r>
        <w:rPr>
          <w:b/>
          <w:highlight w:val="yellow"/>
        </w:rPr>
        <w:t>[[Could be set out using subparagraphs and include additional wording.]]</w:t>
      </w:r>
      <w:r>
        <w:rPr>
          <w:b/>
        </w:rPr>
        <w:t>The Committee recommends that the State party ensure that, in law and in practice, migrant workers and members of their families, including those in an irregular situation, have opportunities equal to those of nationals of the State party to file complaints and obtain effective redress in the courts in cases where their rights under the Convention are violated. The Committee also recommends that the State party take additional measures to inform migrant workers and members of their families, including those in an irregular situation, about the judicial and other remedies available to them in cases of violations of their rights under the Convention.</w:t>
      </w:r>
    </w:p>
    <w:p>
      <w:pPr>
        <w:pStyle w:val="H23G"/>
      </w:pPr>
      <w:r>
        <w:lastRenderedPageBreak/>
        <w:tab/>
        <w:t>3.</w:t>
      </w:r>
      <w:r>
        <w:tab/>
        <w:t>Human rights of all migrant workers and members of their families (arts. 8-35)</w:t>
      </w:r>
    </w:p>
    <w:p>
      <w:pPr>
        <w:pStyle w:val="H23G"/>
      </w:pPr>
      <w:r>
        <w:tab/>
      </w:r>
      <w:r>
        <w:tab/>
        <w:t xml:space="preserve">Border management and migrants in transit </w:t>
      </w:r>
    </w:p>
    <w:p>
      <w:pPr>
        <w:pStyle w:val="H23G"/>
      </w:pPr>
      <w:r>
        <w:tab/>
      </w:r>
      <w:r>
        <w:tab/>
        <w:t xml:space="preserve">Labour exploitation and other forms of ill-treatment </w:t>
      </w:r>
    </w:p>
    <w:p>
      <w:pPr>
        <w:pStyle w:val="H23G"/>
      </w:pPr>
      <w:r>
        <w:tab/>
      </w:r>
      <w:r>
        <w:tab/>
        <w:t>Due process, detention and equality before the Courts</w:t>
      </w:r>
    </w:p>
    <w:p>
      <w:pPr>
        <w:pStyle w:val="H23G"/>
      </w:pPr>
      <w:r>
        <w:tab/>
      </w:r>
      <w:r>
        <w:tab/>
        <w:t xml:space="preserve">Expulsion </w:t>
      </w:r>
    </w:p>
    <w:p>
      <w:pPr>
        <w:pStyle w:val="H23G"/>
      </w:pPr>
      <w:r>
        <w:tab/>
      </w:r>
      <w:r>
        <w:tab/>
        <w:t>Consular assistance</w:t>
      </w:r>
    </w:p>
    <w:p>
      <w:pPr>
        <w:pStyle w:val="SingleTxtG"/>
        <w:rPr>
          <w:b/>
        </w:rPr>
      </w:pPr>
      <w:r>
        <w:t>32.</w:t>
      </w:r>
      <w:r>
        <w:tab/>
      </w:r>
      <w:r>
        <w:rPr>
          <w:b/>
        </w:rPr>
        <w:t>The Committee recommends that the State party ensure that all migrant workers and members of their families have recourse to consular support for the protection of the rights set out in the Convention.</w:t>
      </w:r>
    </w:p>
    <w:p>
      <w:pPr>
        <w:pStyle w:val="H23G"/>
      </w:pPr>
      <w:r>
        <w:tab/>
      </w:r>
      <w:r>
        <w:tab/>
        <w:t xml:space="preserve">Remuneration and conditions of work </w:t>
      </w:r>
      <w:r>
        <w:rPr>
          <w:color w:val="FF0000"/>
        </w:rPr>
        <w:t>[</w:t>
      </w:r>
      <w:r>
        <w:t>Remuneration, conditions of work and freedom of movement</w:t>
      </w:r>
      <w:r>
        <w:rPr>
          <w:color w:val="FF0000"/>
        </w:rPr>
        <w:t>]</w:t>
      </w:r>
    </w:p>
    <w:p>
      <w:pPr>
        <w:pStyle w:val="H23G"/>
      </w:pPr>
      <w:r>
        <w:tab/>
      </w:r>
      <w:r>
        <w:tab/>
        <w:t>Social security</w:t>
      </w:r>
    </w:p>
    <w:p>
      <w:pPr>
        <w:pStyle w:val="H23G"/>
      </w:pPr>
      <w:r>
        <w:tab/>
      </w:r>
      <w:r>
        <w:tab/>
        <w:t>Trade unions</w:t>
      </w:r>
    </w:p>
    <w:p>
      <w:pPr>
        <w:pStyle w:val="H23G"/>
      </w:pPr>
      <w:r>
        <w:tab/>
      </w:r>
      <w:r>
        <w:tab/>
        <w:t>Medical care</w:t>
      </w:r>
    </w:p>
    <w:p>
      <w:pPr>
        <w:pStyle w:val="H23G"/>
      </w:pPr>
      <w:r>
        <w:tab/>
      </w:r>
      <w:r>
        <w:tab/>
        <w:t>Birth registration and nationality</w:t>
      </w:r>
    </w:p>
    <w:p>
      <w:pPr>
        <w:pStyle w:val="SingleTxtG"/>
        <w:rPr>
          <w:b/>
        </w:rPr>
      </w:pPr>
      <w:r>
        <w:t>38.</w:t>
      </w:r>
      <w:r>
        <w:tab/>
      </w:r>
      <w:r>
        <w:rPr>
          <w:b/>
        </w:rPr>
        <w:t xml:space="preserve">The Committee recommends that the State party </w:t>
      </w:r>
      <w:r>
        <w:rPr>
          <w:b/>
          <w:color w:val="FF0000"/>
        </w:rPr>
        <w:t>…</w:t>
      </w:r>
      <w:r>
        <w:rPr>
          <w:b/>
        </w:rPr>
        <w:t xml:space="preserve"> in line with target 16.9 of the Sustainable Development Goals.</w:t>
      </w:r>
    </w:p>
    <w:p>
      <w:pPr>
        <w:pStyle w:val="H23G"/>
      </w:pPr>
      <w:r>
        <w:tab/>
      </w:r>
      <w:r>
        <w:tab/>
        <w:t>Education</w:t>
      </w:r>
    </w:p>
    <w:p>
      <w:pPr>
        <w:pStyle w:val="H23G"/>
      </w:pPr>
      <w:r>
        <w:tab/>
      </w:r>
      <w:r>
        <w:tab/>
        <w:t>Right to be informed and dissemination of information</w:t>
      </w:r>
    </w:p>
    <w:p>
      <w:pPr>
        <w:pStyle w:val="H23G"/>
      </w:pPr>
      <w:r>
        <w:tab/>
        <w:t>4.</w:t>
      </w:r>
      <w:r>
        <w:tab/>
        <w:t>Other rights of migrant workers and members of their families who are documented or in a regular situation (arts. 36-56)</w:t>
      </w:r>
    </w:p>
    <w:p>
      <w:pPr>
        <w:pStyle w:val="H23G"/>
      </w:pPr>
      <w:r>
        <w:tab/>
      </w:r>
      <w:r>
        <w:tab/>
        <w:t>Right to form trade unions</w:t>
      </w:r>
    </w:p>
    <w:p>
      <w:pPr>
        <w:pStyle w:val="H23G"/>
      </w:pPr>
      <w:r>
        <w:tab/>
      </w:r>
      <w:r>
        <w:tab/>
        <w:t>Right to vote and to be elected in the State of origin</w:t>
      </w:r>
    </w:p>
    <w:p>
      <w:pPr>
        <w:pStyle w:val="H23G"/>
      </w:pPr>
      <w:r>
        <w:tab/>
      </w:r>
      <w:r>
        <w:tab/>
        <w:t>Family reunification</w:t>
      </w:r>
    </w:p>
    <w:p>
      <w:pPr>
        <w:pStyle w:val="H23G"/>
      </w:pPr>
      <w:r>
        <w:tab/>
      </w:r>
      <w:r>
        <w:tab/>
        <w:t>Right to transfer earnings and savings</w:t>
      </w:r>
    </w:p>
    <w:p>
      <w:pPr>
        <w:pStyle w:val="SingleTxtG"/>
        <w:rPr>
          <w:b/>
        </w:rPr>
      </w:pPr>
      <w:r>
        <w:t>46.</w:t>
      </w:r>
      <w:r>
        <w:tab/>
      </w:r>
      <w:r>
        <w:rPr>
          <w:b/>
        </w:rPr>
        <w:t>The Committee recommends that the State party take measures to reduce the cost of transfer fees for remittances to less than 3 per cent, in line with target 10.c of the Sustainable Development Goals.</w:t>
      </w:r>
      <w:r>
        <w:rPr>
          <w:b/>
          <w:highlight w:val="yellow"/>
        </w:rPr>
        <w:t xml:space="preserve"> [[Exact wording may vary.]]</w:t>
      </w:r>
    </w:p>
    <w:p>
      <w:pPr>
        <w:pStyle w:val="H23G"/>
        <w:keepNext w:val="0"/>
        <w:keepLines w:val="0"/>
      </w:pPr>
      <w:r>
        <w:tab/>
      </w:r>
      <w:r>
        <w:tab/>
        <w:t>Work permits</w:t>
      </w:r>
    </w:p>
    <w:p>
      <w:pPr>
        <w:pStyle w:val="H23G"/>
        <w:keepNext w:val="0"/>
        <w:keepLines w:val="0"/>
      </w:pPr>
      <w:r>
        <w:tab/>
        <w:t>5.</w:t>
      </w:r>
      <w:r>
        <w:tab/>
        <w:t>Provisions applicable to particular categories of migrant workers and members of their families (arts. 57-63)</w:t>
      </w:r>
    </w:p>
    <w:p>
      <w:pPr>
        <w:pStyle w:val="H23G"/>
        <w:keepNext w:val="0"/>
        <w:keepLines w:val="0"/>
      </w:pPr>
      <w:r>
        <w:tab/>
      </w:r>
      <w:r>
        <w:tab/>
        <w:t>Seasonal workers</w:t>
      </w:r>
    </w:p>
    <w:p>
      <w:pPr>
        <w:pStyle w:val="H23G"/>
      </w:pPr>
      <w:r>
        <w:lastRenderedPageBreak/>
        <w:tab/>
        <w:t>6.</w:t>
      </w:r>
      <w:r>
        <w:tab/>
        <w:t xml:space="preserve">Promotion of sound, equitable, humane and lawful conditions in connection with the international migration of workers and members of their families (arts. 64-71) </w:t>
      </w:r>
    </w:p>
    <w:p>
      <w:pPr>
        <w:pStyle w:val="H23G"/>
      </w:pPr>
      <w:r>
        <w:tab/>
      </w:r>
      <w:r>
        <w:tab/>
        <w:t>Return and reintegration</w:t>
      </w:r>
    </w:p>
    <w:p>
      <w:pPr>
        <w:pStyle w:val="H23G"/>
      </w:pPr>
      <w:r>
        <w:tab/>
      </w:r>
      <w:r>
        <w:tab/>
        <w:t>Illegal or clandestine movements and employment of migrant workers in an irregular situation</w:t>
      </w:r>
    </w:p>
    <w:p>
      <w:pPr>
        <w:pStyle w:val="H23G"/>
      </w:pPr>
      <w:r>
        <w:tab/>
      </w:r>
      <w:r>
        <w:tab/>
        <w:t>Measures to address migrant workers in an irregular situation</w:t>
      </w:r>
    </w:p>
    <w:p>
      <w:pPr>
        <w:pStyle w:val="H23G"/>
      </w:pPr>
      <w:r>
        <w:tab/>
      </w:r>
      <w:r>
        <w:tab/>
        <w:t>Children remaining behind</w:t>
      </w:r>
    </w:p>
    <w:p>
      <w:pPr>
        <w:pStyle w:val="H23G"/>
      </w:pPr>
      <w:r>
        <w:tab/>
      </w:r>
      <w:r>
        <w:tab/>
        <w:t>Recruitment agencies</w:t>
      </w:r>
    </w:p>
    <w:p>
      <w:pPr>
        <w:pStyle w:val="SingleTxtG"/>
      </w:pPr>
      <w:r>
        <w:t>50.</w:t>
      </w:r>
      <w:r>
        <w:tab/>
      </w:r>
      <w:r>
        <w:rPr>
          <w:b/>
        </w:rPr>
        <w:t>The Committee recommends that the State party take the following measures:</w:t>
      </w:r>
    </w:p>
    <w:p>
      <w:pPr>
        <w:pStyle w:val="SingleTxtG"/>
      </w:pPr>
      <w:r>
        <w:tab/>
        <w:t>(a)</w:t>
      </w:r>
      <w:r>
        <w:tab/>
      </w:r>
      <w:r>
        <w:rPr>
          <w:color w:val="FF0000"/>
        </w:rPr>
        <w:t>…</w:t>
      </w:r>
      <w:r>
        <w:rPr>
          <w:b/>
        </w:rPr>
        <w:t>;</w:t>
      </w:r>
    </w:p>
    <w:p>
      <w:pPr>
        <w:pStyle w:val="SingleTxtG"/>
      </w:pPr>
      <w:r>
        <w:tab/>
        <w:t>(b)</w:t>
      </w:r>
      <w:r>
        <w:tab/>
      </w:r>
      <w:r>
        <w:rPr>
          <w:color w:val="FF0000"/>
        </w:rPr>
        <w:t>…</w:t>
      </w:r>
      <w:r>
        <w:rPr>
          <w:b/>
        </w:rPr>
        <w:t>;</w:t>
      </w:r>
    </w:p>
    <w:p>
      <w:pPr>
        <w:pStyle w:val="SingleTxtG"/>
      </w:pPr>
      <w:r>
        <w:tab/>
        <w:t>(c)</w:t>
      </w:r>
      <w:r>
        <w:tab/>
      </w:r>
      <w:r>
        <w:rPr>
          <w:b/>
        </w:rPr>
        <w:t>Ensure that private recruitment agencies provide complete information to individuals seeking employment abroad and that they guarantee the effective enjoyment of all agreed employment benefits, in particular salaries;</w:t>
      </w:r>
      <w:r>
        <w:t xml:space="preserve"> </w:t>
      </w:r>
    </w:p>
    <w:p>
      <w:pPr>
        <w:pStyle w:val="SingleTxtG"/>
      </w:pPr>
      <w:r>
        <w:tab/>
        <w:t>(d)</w:t>
      </w:r>
      <w:r>
        <w:tab/>
      </w:r>
      <w:r>
        <w:rPr>
          <w:color w:val="FF0000"/>
        </w:rPr>
        <w:t>…</w:t>
      </w:r>
      <w:r>
        <w:rPr>
          <w:b/>
        </w:rPr>
        <w:t>.</w:t>
      </w:r>
    </w:p>
    <w:p>
      <w:pPr>
        <w:pStyle w:val="H23G"/>
      </w:pPr>
      <w:r>
        <w:tab/>
      </w:r>
      <w:r>
        <w:tab/>
        <w:t>Illegal or clandestine movements and employment of migrant workers in an irregular situation</w:t>
      </w:r>
    </w:p>
    <w:p>
      <w:pPr>
        <w:pStyle w:val="H23G"/>
      </w:pPr>
      <w:r>
        <w:tab/>
        <w:t>7.</w:t>
      </w:r>
      <w:r>
        <w:tab/>
        <w:t>Dissemination and follow-up</w:t>
      </w:r>
    </w:p>
    <w:p>
      <w:pPr>
        <w:pStyle w:val="H23G"/>
      </w:pPr>
      <w:r>
        <w:tab/>
      </w:r>
      <w:r>
        <w:tab/>
        <w:t>Dissemination</w:t>
      </w:r>
    </w:p>
    <w:p>
      <w:pPr>
        <w:pStyle w:val="SingleTxtG"/>
        <w:rPr>
          <w:b/>
        </w:rPr>
      </w:pPr>
      <w:r>
        <w:t>56.</w:t>
      </w:r>
      <w:r>
        <w:tab/>
      </w:r>
      <w:r>
        <w:rPr>
          <w:b/>
        </w:rPr>
        <w:t xml:space="preserve">The Committee requests the State party to ensure the timely dissemination of the present concluding observations, in the official languages of the State party, to the relevant State institutions, including to government ministries, the legislature, the judiciary and relevant local authorities, as well as to non-governmental organizations and other members of civil society. </w:t>
      </w:r>
    </w:p>
    <w:p>
      <w:pPr>
        <w:pStyle w:val="H23G"/>
      </w:pPr>
      <w:r>
        <w:tab/>
      </w:r>
      <w:r>
        <w:tab/>
        <w:t xml:space="preserve">Technical assistance </w:t>
      </w:r>
    </w:p>
    <w:p>
      <w:pPr>
        <w:pStyle w:val="SingleTxtG"/>
      </w:pPr>
      <w:r>
        <w:t>57.</w:t>
      </w:r>
      <w:r>
        <w:tab/>
      </w:r>
      <w:r>
        <w:rPr>
          <w:b/>
        </w:rPr>
        <w:t>The Committee recommends that the State party further avail itself of international assistance for the implementation of the recommendations contained in the present concluding observations in line with the 2030 Agenda for Sustainable Development.</w:t>
      </w:r>
    </w:p>
    <w:p>
      <w:pPr>
        <w:pStyle w:val="H23G"/>
      </w:pPr>
      <w:r>
        <w:tab/>
      </w:r>
      <w:r>
        <w:tab/>
        <w:t xml:space="preserve">Follow-up to concluding observations </w:t>
      </w:r>
      <w:r>
        <w:rPr>
          <w:highlight w:val="yellow"/>
        </w:rPr>
        <w:t>[[Not always included]]</w:t>
      </w:r>
    </w:p>
    <w:p>
      <w:pPr>
        <w:pStyle w:val="SingleTxtG"/>
      </w:pPr>
      <w:r>
        <w:t>58.</w:t>
      </w:r>
      <w:r>
        <w:tab/>
      </w:r>
      <w:r>
        <w:rPr>
          <w:b/>
        </w:rPr>
        <w:t xml:space="preserve">The Committee requests the State party to provide, within two years (that is, by </w:t>
      </w:r>
      <w:r>
        <w:rPr>
          <w:b/>
          <w:color w:val="FF0000"/>
        </w:rPr>
        <w:t>date</w:t>
      </w:r>
      <w:r>
        <w:rPr>
          <w:b/>
        </w:rPr>
        <w:t xml:space="preserve">), written information on the implementation of the recommendations contained in paragraphs </w:t>
      </w:r>
      <w:r>
        <w:rPr>
          <w:b/>
          <w:color w:val="FF0000"/>
        </w:rPr>
        <w:t>X</w:t>
      </w:r>
      <w:r>
        <w:rPr>
          <w:b/>
        </w:rPr>
        <w:t xml:space="preserve">, </w:t>
      </w:r>
      <w:r>
        <w:rPr>
          <w:b/>
          <w:color w:val="FF0000"/>
        </w:rPr>
        <w:t>X</w:t>
      </w:r>
      <w:r>
        <w:rPr>
          <w:b/>
        </w:rPr>
        <w:t xml:space="preserve"> and </w:t>
      </w:r>
      <w:r>
        <w:rPr>
          <w:b/>
          <w:color w:val="FF0000"/>
        </w:rPr>
        <w:t>X</w:t>
      </w:r>
      <w:r>
        <w:rPr>
          <w:b/>
        </w:rPr>
        <w:t xml:space="preserve"> above.</w:t>
      </w:r>
    </w:p>
    <w:p>
      <w:pPr>
        <w:pStyle w:val="H23G"/>
      </w:pPr>
      <w:r>
        <w:tab/>
      </w:r>
      <w:r>
        <w:tab/>
        <w:t>Next periodic report</w:t>
      </w:r>
    </w:p>
    <w:p>
      <w:pPr>
        <w:pStyle w:val="SingleTxtG"/>
      </w:pPr>
      <w:r>
        <w:t>59.</w:t>
      </w:r>
      <w:r>
        <w:tab/>
      </w:r>
      <w:r>
        <w:rPr>
          <w:b/>
        </w:rPr>
        <w:t xml:space="preserve">The Committee requests the State party to submit its </w:t>
      </w:r>
      <w:r>
        <w:rPr>
          <w:b/>
          <w:color w:val="FF0000"/>
        </w:rPr>
        <w:t>number</w:t>
      </w:r>
      <w:r>
        <w:rPr>
          <w:b/>
        </w:rPr>
        <w:t xml:space="preserve"> periodic report by </w:t>
      </w:r>
      <w:r>
        <w:rPr>
          <w:b/>
          <w:color w:val="FF0000"/>
        </w:rPr>
        <w:t>date</w:t>
      </w:r>
      <w:r>
        <w:rPr>
          <w:b/>
        </w:rPr>
        <w:t xml:space="preserve">. In doing so, the State party may wish to follow the simplified reporting procedure. The Committee draws the State party’s attention to its harmonized treaty-specific guidelines (HRI/GEN.2/Rev.6). </w:t>
      </w:r>
    </w:p>
    <w:p>
      <w:pPr>
        <w:spacing w:before="240"/>
        <w:jc w:val="center"/>
        <w:rPr>
          <w:u w:val="single"/>
        </w:rPr>
      </w:pPr>
      <w:r>
        <w:rPr>
          <w:u w:val="single"/>
        </w:rPr>
        <w:tab/>
      </w:r>
      <w:r>
        <w:rPr>
          <w:u w:val="single"/>
        </w:rPr>
        <w:tab/>
      </w:r>
      <w:r>
        <w:rPr>
          <w:u w:val="single"/>
        </w:rPr>
        <w:tab/>
      </w:r>
    </w:p>
    <w:sectPr>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endnote>
  <w:endnote w:type="continuationSeparator" w:id="0">
    <w:p>
      <w:pPr>
        <w:pStyle w:val="Pieddepage"/>
      </w:pPr>
    </w:p>
  </w:endnote>
  <w:endnote w:type="continuationNotice"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spacing w:before="120"/>
      <w:rPr>
        <w:noProof/>
        <w:sz w:val="20"/>
        <w:lang w:eastAsia="fr-FR"/>
      </w:rPr>
    </w:pPr>
    <w:r>
      <w:rPr>
        <w:noProof/>
        <w:sz w:val="20"/>
        <w:lang w:val="fr-CH" w:eastAsia="zh-CN"/>
      </w:rPr>
      <w:drawing>
        <wp:anchor distT="0" distB="0" distL="114300" distR="114300" simplePos="0" relativeHeight="25166182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p>
  <w:tbl>
    <w:tblPr>
      <w:tblStyle w:val="Grilledutableau"/>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tc>
        <w:tcPr>
          <w:tcW w:w="1848" w:type="dxa"/>
          <w:vAlign w:val="bottom"/>
        </w:tcPr>
        <w:p>
          <w:pPr>
            <w:pStyle w:val="Pieddepage"/>
            <w:spacing w:before="120" w:after="120"/>
            <w:jc w:val="right"/>
          </w:pPr>
          <w:r>
            <w:rPr>
              <w:noProof/>
              <w:sz w:val="20"/>
              <w:lang w:val="fr-CH" w:eastAsia="zh-CN"/>
            </w:rPr>
            <w:drawing>
              <wp:inline distT="0" distB="0" distL="0" distR="0">
                <wp:extent cx="931545" cy="232410"/>
                <wp:effectExtent l="0" t="0" r="1905" b="0"/>
                <wp:docPr id="4"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pPr>
            <w:pStyle w:val="Pieddepage"/>
            <w:jc w:val="right"/>
          </w:pPr>
        </w:p>
      </w:tc>
    </w:tr>
  </w:tbl>
  <w:p>
    <w:pPr>
      <w:pStyle w:val="Pieddepage"/>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pStyle w:val="Pieddepage"/>
        <w:tabs>
          <w:tab w:val="right" w:pos="2155"/>
        </w:tabs>
        <w:spacing w:after="80" w:line="240" w:lineRule="atLeast"/>
        <w:ind w:left="680"/>
        <w:rPr>
          <w:u w:val="single"/>
        </w:rPr>
      </w:pPr>
      <w:r>
        <w:rPr>
          <w:u w:val="single"/>
        </w:rPr>
        <w:tab/>
      </w:r>
    </w:p>
  </w:footnote>
  <w:footnote w:type="continuationSeparator" w:id="0">
    <w:p>
      <w:pPr>
        <w:pStyle w:val="Pieddepage"/>
        <w:tabs>
          <w:tab w:val="right" w:pos="2155"/>
        </w:tabs>
        <w:spacing w:after="80" w:line="240" w:lineRule="atLeast"/>
        <w:ind w:left="680"/>
        <w:rPr>
          <w:u w:val="single"/>
        </w:rPr>
      </w:pPr>
      <w:r>
        <w:rPr>
          <w:u w:val="single"/>
        </w:rPr>
        <w:tab/>
      </w:r>
    </w:p>
  </w:footnote>
  <w:footnote w:type="continuationNotice" w:id="1">
    <w:p>
      <w:pPr>
        <w:rPr>
          <w:sz w:val="2"/>
          <w:szCs w:val="2"/>
        </w:rPr>
      </w:pPr>
    </w:p>
  </w:footnote>
  <w:footnote w:id="2">
    <w:p>
      <w:pPr>
        <w:pStyle w:val="Notedebasdepage"/>
      </w:pPr>
      <w:r>
        <w:tab/>
      </w:r>
      <w:r>
        <w:rPr>
          <w:sz w:val="20"/>
        </w:rPr>
        <w:t>*</w:t>
      </w:r>
      <w:r>
        <w:tab/>
        <w:t xml:space="preserve">Adopted by the Committee at its </w:t>
      </w:r>
      <w:r>
        <w:rPr>
          <w:color w:val="FF0000"/>
        </w:rPr>
        <w:t xml:space="preserve">number </w:t>
      </w:r>
      <w:r>
        <w:t>session (</w:t>
      </w:r>
      <w:r>
        <w:rPr>
          <w:color w:val="FF0000"/>
        </w:rPr>
        <w:t>dates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jc w:val="right"/>
    </w:pPr>
    <w:fldSimple w:instr=" DOCPROPERTY  symh  \* MERGEFORMAT ">
      <w:r>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defaultTabStop w:val="567"/>
  <w:hyphenationZone w:val="425"/>
  <w:evenAndOddHeaders/>
  <w:characterSpacingControl w:val="doNotCompress"/>
  <w:hdrShapeDefaults>
    <o:shapedefaults v:ext="edit" spidmax="71681"/>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itre1">
    <w:name w:val="heading 1"/>
    <w:aliases w:val="Table_G"/>
    <w:basedOn w:val="SingleTxtG"/>
    <w:next w:val="SingleTxtG"/>
    <w:link w:val="Titre1Car"/>
    <w:qFormat/>
    <w:pPr>
      <w:keepNext/>
      <w:keepLines/>
      <w:spacing w:after="0" w:line="240" w:lineRule="auto"/>
      <w:ind w:right="0"/>
      <w:jc w:val="left"/>
      <w:outlineLvl w:val="0"/>
    </w:pPr>
  </w:style>
  <w:style w:type="paragraph" w:styleId="Titre2">
    <w:name w:val="heading 2"/>
    <w:basedOn w:val="Normal"/>
    <w:next w:val="Normal"/>
    <w:link w:val="Titre2Car"/>
    <w:semiHidden/>
    <w:qFormat/>
    <w:pPr>
      <w:kinsoku w:val="0"/>
      <w:overflowPunct w:val="0"/>
      <w:autoSpaceDE w:val="0"/>
      <w:autoSpaceDN w:val="0"/>
      <w:adjustRightInd w:val="0"/>
      <w:snapToGrid w:val="0"/>
      <w:outlineLvl w:val="1"/>
    </w:pPr>
    <w:rPr>
      <w:rFonts w:eastAsiaTheme="minorHAnsi"/>
      <w:lang w:val="fr-CH"/>
    </w:rPr>
  </w:style>
  <w:style w:type="paragraph" w:styleId="Titre3">
    <w:name w:val="heading 3"/>
    <w:basedOn w:val="Normal"/>
    <w:next w:val="Normal"/>
    <w:link w:val="Titre3Car"/>
    <w:semiHidden/>
    <w:qFormat/>
    <w:pPr>
      <w:kinsoku w:val="0"/>
      <w:overflowPunct w:val="0"/>
      <w:autoSpaceDE w:val="0"/>
      <w:autoSpaceDN w:val="0"/>
      <w:adjustRightInd w:val="0"/>
      <w:snapToGrid w:val="0"/>
      <w:outlineLvl w:val="2"/>
    </w:pPr>
    <w:rPr>
      <w:rFonts w:eastAsiaTheme="minorHAnsi"/>
      <w:lang w:val="fr-CH"/>
    </w:rPr>
  </w:style>
  <w:style w:type="paragraph" w:styleId="Titre4">
    <w:name w:val="heading 4"/>
    <w:basedOn w:val="Normal"/>
    <w:next w:val="Normal"/>
    <w:link w:val="Titre4Car"/>
    <w:semiHidden/>
    <w:qFormat/>
    <w:pPr>
      <w:kinsoku w:val="0"/>
      <w:overflowPunct w:val="0"/>
      <w:autoSpaceDE w:val="0"/>
      <w:autoSpaceDN w:val="0"/>
      <w:adjustRightInd w:val="0"/>
      <w:snapToGrid w:val="0"/>
      <w:outlineLvl w:val="3"/>
    </w:pPr>
    <w:rPr>
      <w:rFonts w:eastAsiaTheme="minorHAnsi"/>
      <w:lang w:val="fr-CH"/>
    </w:rPr>
  </w:style>
  <w:style w:type="paragraph" w:styleId="Titre5">
    <w:name w:val="heading 5"/>
    <w:basedOn w:val="Normal"/>
    <w:next w:val="Normal"/>
    <w:link w:val="Titre5Car"/>
    <w:semiHidden/>
    <w:qFormat/>
    <w:pPr>
      <w:kinsoku w:val="0"/>
      <w:overflowPunct w:val="0"/>
      <w:autoSpaceDE w:val="0"/>
      <w:autoSpaceDN w:val="0"/>
      <w:adjustRightInd w:val="0"/>
      <w:snapToGrid w:val="0"/>
      <w:outlineLvl w:val="4"/>
    </w:pPr>
    <w:rPr>
      <w:rFonts w:eastAsiaTheme="minorHAnsi"/>
      <w:lang w:val="fr-CH"/>
    </w:rPr>
  </w:style>
  <w:style w:type="paragraph" w:styleId="Titre6">
    <w:name w:val="heading 6"/>
    <w:basedOn w:val="Normal"/>
    <w:next w:val="Normal"/>
    <w:link w:val="Titre6Car"/>
    <w:semiHidden/>
    <w:qFormat/>
    <w:pPr>
      <w:kinsoku w:val="0"/>
      <w:overflowPunct w:val="0"/>
      <w:autoSpaceDE w:val="0"/>
      <w:autoSpaceDN w:val="0"/>
      <w:adjustRightInd w:val="0"/>
      <w:snapToGrid w:val="0"/>
      <w:outlineLvl w:val="5"/>
    </w:pPr>
    <w:rPr>
      <w:rFonts w:eastAsiaTheme="minorHAnsi"/>
      <w:lang w:val="fr-CH"/>
    </w:rPr>
  </w:style>
  <w:style w:type="paragraph" w:styleId="Titre7">
    <w:name w:val="heading 7"/>
    <w:basedOn w:val="Normal"/>
    <w:next w:val="Normal"/>
    <w:link w:val="Titre7Car"/>
    <w:semiHidden/>
    <w:qFormat/>
    <w:pPr>
      <w:kinsoku w:val="0"/>
      <w:overflowPunct w:val="0"/>
      <w:autoSpaceDE w:val="0"/>
      <w:autoSpaceDN w:val="0"/>
      <w:adjustRightInd w:val="0"/>
      <w:snapToGrid w:val="0"/>
      <w:outlineLvl w:val="6"/>
    </w:pPr>
    <w:rPr>
      <w:rFonts w:eastAsiaTheme="minorHAnsi"/>
      <w:lang w:val="fr-CH"/>
    </w:rPr>
  </w:style>
  <w:style w:type="paragraph" w:styleId="Titre8">
    <w:name w:val="heading 8"/>
    <w:basedOn w:val="Normal"/>
    <w:next w:val="Normal"/>
    <w:link w:val="Titre8Car"/>
    <w:semiHidden/>
    <w:qFormat/>
    <w:pPr>
      <w:kinsoku w:val="0"/>
      <w:overflowPunct w:val="0"/>
      <w:autoSpaceDE w:val="0"/>
      <w:autoSpaceDN w:val="0"/>
      <w:adjustRightInd w:val="0"/>
      <w:snapToGrid w:val="0"/>
      <w:outlineLvl w:val="7"/>
    </w:pPr>
    <w:rPr>
      <w:rFonts w:eastAsiaTheme="minorHAnsi"/>
      <w:lang w:val="fr-CH"/>
    </w:rPr>
  </w:style>
  <w:style w:type="paragraph" w:styleId="Titre9">
    <w:name w:val="heading 9"/>
    <w:basedOn w:val="Normal"/>
    <w:next w:val="Normal"/>
    <w:link w:val="Titre9Car"/>
    <w:semiHidden/>
    <w:qFormat/>
    <w:pPr>
      <w:kinsoku w:val="0"/>
      <w:overflowPunct w:val="0"/>
      <w:autoSpaceDE w:val="0"/>
      <w:autoSpaceDN w:val="0"/>
      <w:adjustRightInd w:val="0"/>
      <w:snapToGrid w:val="0"/>
      <w:outlineLvl w:val="8"/>
    </w:pPr>
    <w:rPr>
      <w:rFonts w:eastAsiaTheme="minorHAnsi"/>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6_G"/>
    <w:basedOn w:val="Normal"/>
    <w:link w:val="En-tteCar"/>
    <w:pPr>
      <w:pBdr>
        <w:bottom w:val="single" w:sz="4" w:space="4" w:color="auto"/>
      </w:pBdr>
      <w:suppressAutoHyphens w:val="0"/>
      <w:spacing w:line="240" w:lineRule="auto"/>
    </w:pPr>
    <w:rPr>
      <w:rFonts w:eastAsiaTheme="minorHAnsi"/>
      <w:b/>
      <w:sz w:val="18"/>
    </w:rPr>
  </w:style>
  <w:style w:type="character" w:customStyle="1" w:styleId="En-tteCar">
    <w:name w:val="En-tête Car"/>
    <w:aliases w:val="6_G Car"/>
    <w:basedOn w:val="Policepardfaut"/>
    <w:link w:val="En-tte"/>
    <w:rPr>
      <w:rFonts w:ascii="Times New Roman" w:hAnsi="Times New Roman" w:cs="Times New Roman"/>
      <w:b/>
      <w:sz w:val="18"/>
      <w:szCs w:val="20"/>
      <w:lang w:val="en-GB"/>
    </w:rPr>
  </w:style>
  <w:style w:type="paragraph" w:styleId="Pieddepage">
    <w:name w:val="footer"/>
    <w:aliases w:val="3_G"/>
    <w:basedOn w:val="Normal"/>
    <w:link w:val="PieddepageCar"/>
    <w:pPr>
      <w:suppressAutoHyphens w:val="0"/>
      <w:spacing w:line="240" w:lineRule="auto"/>
    </w:pPr>
    <w:rPr>
      <w:rFonts w:eastAsiaTheme="minorHAnsi"/>
      <w:sz w:val="16"/>
    </w:rPr>
  </w:style>
  <w:style w:type="character" w:customStyle="1" w:styleId="PieddepageCar">
    <w:name w:val="Pied de page Car"/>
    <w:aliases w:val="3_G Car"/>
    <w:basedOn w:val="Policepardfaut"/>
    <w:link w:val="Pieddepage"/>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Appelnotedebasdep">
    <w:name w:val="footnote reference"/>
    <w:aliases w:val="4_G"/>
    <w:basedOn w:val="Policepardfaut"/>
    <w:qFormat/>
    <w:rPr>
      <w:rFonts w:ascii="Times New Roman" w:hAnsi="Times New Roman"/>
      <w:sz w:val="18"/>
      <w:vertAlign w:val="superscript"/>
      <w:lang w:val="en-GB"/>
    </w:rPr>
  </w:style>
  <w:style w:type="character" w:styleId="Appeldenotedefin">
    <w:name w:val="endnote reference"/>
    <w:aliases w:val="1_G"/>
    <w:basedOn w:val="Appelnotedebasdep"/>
    <w:qFormat/>
    <w:rPr>
      <w:rFonts w:ascii="Times New Roman" w:hAnsi="Times New Roman"/>
      <w:sz w:val="18"/>
      <w:vertAlign w:val="superscript"/>
      <w:lang w:val="en-GB"/>
    </w:rPr>
  </w:style>
  <w:style w:type="table" w:styleId="Grilledutableau">
    <w:name w:val="Table Grid"/>
    <w:basedOn w:val="Tableau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Lienhypertexte">
    <w:name w:val="Hyperlink"/>
    <w:basedOn w:val="Policepardfaut"/>
    <w:semiHidden/>
    <w:rPr>
      <w:color w:val="0000FF"/>
      <w:u w:val="none"/>
    </w:rPr>
  </w:style>
  <w:style w:type="character" w:styleId="Lienhypertextesuivivisit">
    <w:name w:val="FollowedHyperlink"/>
    <w:basedOn w:val="Policepardfaut"/>
    <w:semiHidden/>
    <w:rPr>
      <w:color w:val="0000FF"/>
      <w:u w:val="none"/>
    </w:rPr>
  </w:style>
  <w:style w:type="paragraph" w:styleId="Notedebasdepage">
    <w:name w:val="footnote text"/>
    <w:aliases w:val="5_G"/>
    <w:basedOn w:val="Normal"/>
    <w:link w:val="Notedebasdepag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NotedebasdepageCar">
    <w:name w:val="Note de bas de page Car"/>
    <w:aliases w:val="5_G Car"/>
    <w:basedOn w:val="Policepardfaut"/>
    <w:link w:val="Notedebasdepage"/>
    <w:rPr>
      <w:rFonts w:ascii="Times New Roman" w:hAnsi="Times New Roman" w:cs="Times New Roman"/>
      <w:sz w:val="18"/>
      <w:szCs w:val="20"/>
      <w:lang w:val="en-GB"/>
    </w:rPr>
  </w:style>
  <w:style w:type="paragraph" w:styleId="Notedefin">
    <w:name w:val="endnote text"/>
    <w:aliases w:val="2_G"/>
    <w:basedOn w:val="Notedebasdepage"/>
    <w:link w:val="NotedefinCar"/>
    <w:qFormat/>
  </w:style>
  <w:style w:type="character" w:customStyle="1" w:styleId="NotedefinCar">
    <w:name w:val="Note de fin Car"/>
    <w:aliases w:val="2_G Car"/>
    <w:basedOn w:val="Policepardfaut"/>
    <w:link w:val="Notedefin"/>
    <w:rPr>
      <w:rFonts w:ascii="Times New Roman" w:hAnsi="Times New Roman" w:cs="Times New Roman"/>
      <w:sz w:val="18"/>
      <w:szCs w:val="20"/>
      <w:lang w:val="en-GB"/>
    </w:rPr>
  </w:style>
  <w:style w:type="character" w:styleId="Numrodepage">
    <w:name w:val="page number"/>
    <w:aliases w:val="7_G"/>
    <w:basedOn w:val="Policepardfaut"/>
    <w:qFormat/>
    <w:rPr>
      <w:rFonts w:ascii="Times New Roman" w:hAnsi="Times New Roman"/>
      <w:b/>
      <w:sz w:val="18"/>
      <w:lang w:val="en-GB"/>
    </w:rPr>
  </w:style>
  <w:style w:type="character" w:customStyle="1" w:styleId="Titre1Car">
    <w:name w:val="Titre 1 Car"/>
    <w:aliases w:val="Table_G Car"/>
    <w:basedOn w:val="Policepardfaut"/>
    <w:link w:val="Titre1"/>
    <w:rPr>
      <w:rFonts w:ascii="Times New Roman" w:hAnsi="Times New Roman" w:cs="Times New Roman"/>
      <w:sz w:val="20"/>
      <w:szCs w:val="20"/>
    </w:rPr>
  </w:style>
  <w:style w:type="character" w:customStyle="1" w:styleId="Titre2Car">
    <w:name w:val="Titre 2 Car"/>
    <w:basedOn w:val="Policepardfaut"/>
    <w:link w:val="Titre2"/>
    <w:semiHidden/>
    <w:rPr>
      <w:rFonts w:ascii="Times New Roman" w:hAnsi="Times New Roman" w:cs="Times New Roman"/>
      <w:sz w:val="20"/>
      <w:szCs w:val="20"/>
    </w:rPr>
  </w:style>
  <w:style w:type="character" w:customStyle="1" w:styleId="Titre3Car">
    <w:name w:val="Titre 3 Car"/>
    <w:basedOn w:val="Policepardfaut"/>
    <w:link w:val="Titre3"/>
    <w:semiHidden/>
    <w:rPr>
      <w:rFonts w:ascii="Times New Roman" w:hAnsi="Times New Roman" w:cs="Times New Roman"/>
      <w:sz w:val="20"/>
      <w:szCs w:val="20"/>
    </w:rPr>
  </w:style>
  <w:style w:type="character" w:customStyle="1" w:styleId="Titre4Car">
    <w:name w:val="Titre 4 Car"/>
    <w:basedOn w:val="Policepardfaut"/>
    <w:link w:val="Titre4"/>
    <w:semiHidden/>
    <w:rPr>
      <w:rFonts w:ascii="Times New Roman" w:hAnsi="Times New Roman" w:cs="Times New Roman"/>
      <w:sz w:val="20"/>
      <w:szCs w:val="20"/>
    </w:rPr>
  </w:style>
  <w:style w:type="character" w:customStyle="1" w:styleId="Titre5Car">
    <w:name w:val="Titre 5 Car"/>
    <w:basedOn w:val="Policepardfaut"/>
    <w:link w:val="Titre5"/>
    <w:semiHidden/>
    <w:rPr>
      <w:rFonts w:ascii="Times New Roman" w:hAnsi="Times New Roman" w:cs="Times New Roman"/>
      <w:sz w:val="20"/>
      <w:szCs w:val="20"/>
    </w:rPr>
  </w:style>
  <w:style w:type="character" w:customStyle="1" w:styleId="Titre6Car">
    <w:name w:val="Titre 6 Car"/>
    <w:basedOn w:val="Policepardfaut"/>
    <w:link w:val="Titre6"/>
    <w:semiHidden/>
    <w:rPr>
      <w:rFonts w:ascii="Times New Roman" w:hAnsi="Times New Roman" w:cs="Times New Roman"/>
      <w:sz w:val="20"/>
      <w:szCs w:val="20"/>
    </w:rPr>
  </w:style>
  <w:style w:type="character" w:customStyle="1" w:styleId="Titre7Car">
    <w:name w:val="Titre 7 Car"/>
    <w:basedOn w:val="Policepardfaut"/>
    <w:link w:val="Titre7"/>
    <w:semiHidden/>
    <w:rPr>
      <w:rFonts w:ascii="Times New Roman" w:hAnsi="Times New Roman" w:cs="Times New Roman"/>
      <w:sz w:val="20"/>
      <w:szCs w:val="20"/>
    </w:rPr>
  </w:style>
  <w:style w:type="character" w:customStyle="1" w:styleId="Titre8Car">
    <w:name w:val="Titre 8 Car"/>
    <w:basedOn w:val="Policepardfaut"/>
    <w:link w:val="Titre8"/>
    <w:semiHidden/>
    <w:rPr>
      <w:rFonts w:ascii="Times New Roman" w:hAnsi="Times New Roman" w:cs="Times New Roman"/>
      <w:sz w:val="20"/>
      <w:szCs w:val="20"/>
    </w:rPr>
  </w:style>
  <w:style w:type="character" w:customStyle="1" w:styleId="Titre9Car">
    <w:name w:val="Titre 9 Car"/>
    <w:basedOn w:val="Policepardfaut"/>
    <w:link w:val="Titre9"/>
    <w:semiHidden/>
    <w:rPr>
      <w:rFonts w:ascii="Times New Roman" w:hAnsi="Times New Roman" w:cs="Times New Roman"/>
      <w:sz w:val="20"/>
      <w:szCs w:val="20"/>
    </w:rPr>
  </w:style>
  <w:style w:type="paragraph" w:styleId="Textedebulles">
    <w:name w:val="Balloon Text"/>
    <w:basedOn w:val="Normal"/>
    <w:link w:val="TextedebullesCar"/>
    <w:uiPriority w:val="99"/>
    <w:semiHidden/>
    <w:unhideWhenUse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imes New Roman" w:hAnsi="Tahoma" w:cs="Tahoma"/>
      <w:sz w:val="16"/>
      <w:szCs w:val="16"/>
      <w:lang w:val="en-GB"/>
    </w:rPr>
  </w:style>
  <w:style w:type="numbering" w:styleId="111111">
    <w:name w:val="Outline List 2"/>
    <w:basedOn w:val="Aucuneliste"/>
    <w:semiHidden/>
    <w:pPr>
      <w:numPr>
        <w:numId w:val="18"/>
      </w:numPr>
    </w:pPr>
  </w:style>
  <w:style w:type="numbering" w:styleId="1ai">
    <w:name w:val="Outline List 1"/>
    <w:basedOn w:val="Aucuneliste"/>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eau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A4827-5D3D-411E-8830-9D2F690A4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1133</Words>
  <Characters>6237</Characters>
  <Application>Microsoft Office Word</Application>
  <DocSecurity>0</DocSecurity>
  <Lines>51</Lines>
  <Paragraphs>14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Belen Camarasa Rioja</cp:lastModifiedBy>
  <cp:revision>4</cp:revision>
  <cp:lastPrinted>2017-10-25T12:09:00Z</cp:lastPrinted>
  <dcterms:created xsi:type="dcterms:W3CDTF">2018-03-14T16:30:00Z</dcterms:created>
  <dcterms:modified xsi:type="dcterms:W3CDTF">2018-03-22T15:09:00Z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