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CRC</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E0623C" w:rsidP="00E0623C">
            <w:pPr>
              <w:spacing w:before="120" w:line="460" w:lineRule="exact"/>
            </w:pPr>
            <w:r w:rsidRPr="00262665">
              <w:rPr>
                <w:b/>
                <w:sz w:val="40"/>
                <w:szCs w:val="40"/>
              </w:rPr>
              <w:t>Convention relative</w:t>
            </w:r>
            <w:r w:rsidRPr="00262665">
              <w:rPr>
                <w:b/>
                <w:sz w:val="40"/>
                <w:szCs w:val="40"/>
              </w:rPr>
              <w:br/>
              <w:t>aux droits de l’enfant</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484F44" w:rsidP="00981901">
            <w:pPr>
              <w:suppressAutoHyphens w:val="0"/>
            </w:pPr>
            <w:fldSimple w:instr=" DOCPROPERTY  date  \* MERGEFORMAT ">
              <w:r w:rsidR="006056E0" w:rsidRPr="00F43810">
                <w:t>date</w:t>
              </w:r>
            </w:fldSimple>
          </w:p>
          <w:p w:rsidR="006056E0" w:rsidRPr="00F43810" w:rsidRDefault="00484F44" w:rsidP="00981901">
            <w:pPr>
              <w:suppressAutoHyphens w:val="0"/>
            </w:pPr>
            <w:fldSimple w:instr=" DOCPROPERTY  tlang  \* MERGEFORMAT ">
              <w:r w:rsidR="006056E0" w:rsidRPr="00F43810">
                <w:t>tlang</w:t>
              </w:r>
            </w:fldSimple>
          </w:p>
          <w:p w:rsidR="001E498C" w:rsidRPr="00F43810" w:rsidRDefault="004035DC"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484F44" w:rsidP="00981901">
            <w:pPr>
              <w:suppressAutoHyphens w:val="0"/>
            </w:pPr>
            <w:fldSimple w:instr=" DOCPROPERTY  virs  \* MERGEFORMAT ">
              <w:r w:rsidR="006056E0" w:rsidRPr="00F43810">
                <w:t>virs</w:t>
              </w:r>
            </w:fldSimple>
          </w:p>
        </w:tc>
      </w:tr>
    </w:tbl>
    <w:p w:rsidR="00AA69DF" w:rsidRDefault="00046CEB" w:rsidP="00AA69DF">
      <w:pPr>
        <w:spacing w:before="120"/>
        <w:rPr>
          <w:b/>
          <w:sz w:val="24"/>
          <w:szCs w:val="24"/>
        </w:rPr>
      </w:pPr>
      <w:r w:rsidRPr="00DA3BE9">
        <w:rPr>
          <w:b/>
          <w:sz w:val="24"/>
          <w:szCs w:val="24"/>
        </w:rPr>
        <w:t>Comité des droits de l</w:t>
      </w:r>
      <w:r>
        <w:rPr>
          <w:b/>
          <w:sz w:val="24"/>
          <w:szCs w:val="24"/>
        </w:rPr>
        <w:t>’</w:t>
      </w:r>
      <w:r w:rsidRPr="00DA3BE9">
        <w:rPr>
          <w:b/>
          <w:sz w:val="24"/>
          <w:szCs w:val="24"/>
        </w:rPr>
        <w:t>enfant</w:t>
      </w:r>
    </w:p>
    <w:p w:rsidR="00D90480" w:rsidRPr="002C5D02" w:rsidRDefault="00D90480" w:rsidP="002C5D02">
      <w:pPr>
        <w:pStyle w:val="HChG"/>
        <w:rPr>
          <w:rFonts w:eastAsia="Times New Roman"/>
          <w:sz w:val="24"/>
          <w:szCs w:val="24"/>
          <w:lang w:eastAsia="zh-CN"/>
        </w:rPr>
      </w:pPr>
      <w:r w:rsidRPr="001F43F3">
        <w:rPr>
          <w:lang w:val="fr-FR"/>
        </w:rPr>
        <w:tab/>
      </w:r>
      <w:r w:rsidRPr="001F43F3">
        <w:rPr>
          <w:lang w:val="fr-FR"/>
        </w:rPr>
        <w:tab/>
      </w:r>
      <w:r w:rsidR="002C5D02">
        <w:t>Observations finales</w:t>
      </w:r>
      <w:r w:rsidRPr="001F43F3">
        <w:rPr>
          <w:lang w:val="fr-FR"/>
        </w:rPr>
        <w:t xml:space="preserve"> concernant</w:t>
      </w:r>
      <w:r>
        <w:rPr>
          <w:lang w:val="fr-FR"/>
        </w:rPr>
        <w:t xml:space="preserve"> le</w:t>
      </w:r>
      <w:r w:rsidRPr="001F43F3">
        <w:rPr>
          <w:lang w:val="fr-FR"/>
        </w:rPr>
        <w:t xml:space="preserve"> </w:t>
      </w:r>
      <w:r>
        <w:rPr>
          <w:lang w:val="fr-FR"/>
        </w:rPr>
        <w:fldChar w:fldCharType="begin"/>
      </w:r>
      <w:r>
        <w:rPr>
          <w:lang w:val="fr-FR"/>
        </w:rPr>
        <w:instrText xml:space="preserve"> DOCPROPERTY  prep  \* MERGEFORMAT </w:instrText>
      </w:r>
      <w:r>
        <w:rPr>
          <w:lang w:val="fr-FR"/>
        </w:rPr>
        <w:fldChar w:fldCharType="separate"/>
      </w:r>
      <w:r>
        <w:rPr>
          <w:lang w:val="fr-FR"/>
        </w:rPr>
        <w:t>prep</w:t>
      </w:r>
      <w:r>
        <w:rPr>
          <w:lang w:val="fr-FR"/>
        </w:rPr>
        <w:fldChar w:fldCharType="end"/>
      </w:r>
      <w:r w:rsidR="002C5D02" w:rsidRPr="00B65859">
        <w:rPr>
          <w:rStyle w:val="FootnoteReference"/>
          <w:b w:val="0"/>
          <w:bCs/>
          <w:sz w:val="20"/>
          <w:vertAlign w:val="baseline"/>
        </w:rPr>
        <w:footnoteReference w:customMarkFollows="1" w:id="2"/>
        <w:t>*</w:t>
      </w:r>
      <w:r w:rsidR="002C5D02" w:rsidRPr="00B65859">
        <w:rPr>
          <w:rFonts w:eastAsia="Times New Roman"/>
          <w:b w:val="0"/>
          <w:bCs/>
          <w:sz w:val="20"/>
          <w:lang w:eastAsia="zh-CN"/>
        </w:rPr>
        <w:t xml:space="preserve"> </w:t>
      </w:r>
    </w:p>
    <w:p w:rsidR="002C5D02" w:rsidRDefault="002C5D02" w:rsidP="002C5D02">
      <w:pPr>
        <w:pStyle w:val="HChG"/>
      </w:pPr>
      <w:r>
        <w:tab/>
        <w:t>I.</w:t>
      </w:r>
      <w:r>
        <w:tab/>
        <w:t>Introduction</w:t>
      </w:r>
    </w:p>
    <w:p w:rsidR="002C5D02" w:rsidRDefault="002C5D02" w:rsidP="002C5D02">
      <w:pPr>
        <w:pStyle w:val="SingleTxtG"/>
        <w:rPr>
          <w:szCs w:val="24"/>
          <w:lang w:val="fr-FR"/>
        </w:rPr>
      </w:pPr>
      <w:r>
        <w:t>1.</w:t>
      </w:r>
      <w:r>
        <w:tab/>
      </w:r>
      <w:r>
        <w:rPr>
          <w:szCs w:val="24"/>
          <w:lang w:val="fr-FR"/>
        </w:rPr>
        <w:t xml:space="preserve">Le Comité a examiné le </w:t>
      </w:r>
      <w:r>
        <w:rPr>
          <w:color w:val="FF0000"/>
          <w:szCs w:val="24"/>
          <w:lang w:val="fr-FR"/>
        </w:rPr>
        <w:t>[</w:t>
      </w:r>
      <w:r>
        <w:rPr>
          <w:color w:val="FF0000"/>
        </w:rPr>
        <w:t>rapport initial de Pays] [énième rapport périodique de Pays] [rapport de Pays valant énième à énième rapports périodiques]</w:t>
      </w:r>
      <w:r>
        <w:rPr>
          <w:szCs w:val="24"/>
          <w:lang w:val="fr-FR"/>
        </w:rPr>
        <w:t xml:space="preserve"> (CRC/C/</w:t>
      </w:r>
      <w:r>
        <w:rPr>
          <w:color w:val="FF0000"/>
          <w:szCs w:val="24"/>
          <w:lang w:val="fr-FR"/>
        </w:rPr>
        <w:t>XXX</w:t>
      </w:r>
      <w:r>
        <w:rPr>
          <w:szCs w:val="24"/>
          <w:lang w:val="fr-FR"/>
        </w:rPr>
        <w:t>/</w:t>
      </w:r>
      <w:r>
        <w:rPr>
          <w:color w:val="FF0000"/>
          <w:szCs w:val="24"/>
          <w:lang w:val="fr-FR"/>
        </w:rPr>
        <w:t>Y</w:t>
      </w:r>
      <w:r>
        <w:rPr>
          <w:szCs w:val="24"/>
          <w:lang w:val="fr-FR"/>
        </w:rPr>
        <w:t xml:space="preserve">) à ses </w:t>
      </w:r>
      <w:r>
        <w:rPr>
          <w:color w:val="FF0000"/>
        </w:rPr>
        <w:t>énième</w:t>
      </w:r>
      <w:r>
        <w:rPr>
          <w:szCs w:val="24"/>
          <w:lang w:val="fr-FR"/>
        </w:rPr>
        <w:t xml:space="preserve"> et </w:t>
      </w:r>
      <w:r>
        <w:rPr>
          <w:color w:val="FF0000"/>
        </w:rPr>
        <w:t>énième</w:t>
      </w:r>
      <w:r>
        <w:rPr>
          <w:szCs w:val="24"/>
          <w:lang w:val="fr-FR"/>
        </w:rPr>
        <w:t xml:space="preserve"> séances (voir CRC/C/SR.</w:t>
      </w:r>
      <w:r>
        <w:rPr>
          <w:color w:val="FF0000"/>
          <w:szCs w:val="24"/>
          <w:lang w:val="fr-FR"/>
        </w:rPr>
        <w:t>XXX</w:t>
      </w:r>
      <w:r>
        <w:rPr>
          <w:szCs w:val="24"/>
          <w:lang w:val="fr-FR"/>
        </w:rPr>
        <w:t xml:space="preserve"> et </w:t>
      </w:r>
      <w:r>
        <w:rPr>
          <w:color w:val="FF0000"/>
          <w:szCs w:val="24"/>
          <w:lang w:val="fr-FR"/>
        </w:rPr>
        <w:t>XXX</w:t>
      </w:r>
      <w:r>
        <w:rPr>
          <w:szCs w:val="24"/>
          <w:lang w:val="fr-FR"/>
        </w:rPr>
        <w:t>), le</w:t>
      </w:r>
      <w:r>
        <w:rPr>
          <w:color w:val="FF0000"/>
          <w:szCs w:val="24"/>
          <w:lang w:val="fr-FR"/>
        </w:rPr>
        <w:t>(s) date(s)</w:t>
      </w:r>
      <w:r>
        <w:rPr>
          <w:szCs w:val="24"/>
          <w:lang w:val="fr-FR"/>
        </w:rPr>
        <w:t xml:space="preserve">, et a adopté les présentes observations finales à sa </w:t>
      </w:r>
      <w:r>
        <w:rPr>
          <w:color w:val="FF0000"/>
        </w:rPr>
        <w:t>énième</w:t>
      </w:r>
      <w:r>
        <w:rPr>
          <w:szCs w:val="24"/>
          <w:lang w:val="fr-FR"/>
        </w:rPr>
        <w:t xml:space="preserve"> séance, le </w:t>
      </w:r>
      <w:r>
        <w:rPr>
          <w:color w:val="FF0000"/>
          <w:szCs w:val="24"/>
          <w:lang w:val="fr-FR"/>
        </w:rPr>
        <w:t>date</w:t>
      </w:r>
      <w:r>
        <w:rPr>
          <w:szCs w:val="24"/>
          <w:lang w:val="fr-FR"/>
        </w:rPr>
        <w:t>.</w:t>
      </w:r>
    </w:p>
    <w:p w:rsidR="002C5D02" w:rsidRDefault="002C5D02" w:rsidP="002C5D02">
      <w:pPr>
        <w:pStyle w:val="SingleTxtG"/>
        <w:rPr>
          <w:szCs w:val="24"/>
          <w:lang w:val="fr-FR"/>
        </w:rPr>
      </w:pPr>
      <w:r>
        <w:rPr>
          <w:szCs w:val="24"/>
          <w:lang w:val="fr-FR"/>
        </w:rPr>
        <w:t>2.</w:t>
      </w:r>
      <w:r>
        <w:rPr>
          <w:szCs w:val="24"/>
          <w:lang w:val="fr-FR"/>
        </w:rPr>
        <w:tab/>
        <w:t xml:space="preserve">Le Comité accueille avec satisfaction le </w:t>
      </w:r>
      <w:r>
        <w:rPr>
          <w:color w:val="FF0000"/>
          <w:szCs w:val="24"/>
          <w:lang w:val="fr-FR"/>
        </w:rPr>
        <w:t>[</w:t>
      </w:r>
      <w:r>
        <w:rPr>
          <w:color w:val="FF0000"/>
        </w:rPr>
        <w:t>rapport initial de Pays] [énième rapport périodique de Pays] [rapport de Pays valant énième</w:t>
      </w:r>
      <w:r>
        <w:t xml:space="preserve"> </w:t>
      </w:r>
      <w:r>
        <w:rPr>
          <w:color w:val="FF0000"/>
        </w:rPr>
        <w:t>à énième rapports périodiques]</w:t>
      </w:r>
      <w:r>
        <w:rPr>
          <w:szCs w:val="24"/>
          <w:lang w:val="fr-FR"/>
        </w:rPr>
        <w:t>, ainsi que les réponses écrites à la liste de points (CRC/C/</w:t>
      </w:r>
      <w:r>
        <w:rPr>
          <w:color w:val="FF0000"/>
          <w:szCs w:val="24"/>
          <w:lang w:val="fr-FR"/>
        </w:rPr>
        <w:t>XXX</w:t>
      </w:r>
      <w:r>
        <w:rPr>
          <w:szCs w:val="24"/>
          <w:lang w:val="fr-FR"/>
        </w:rPr>
        <w:t>/Q/</w:t>
      </w:r>
      <w:r>
        <w:rPr>
          <w:color w:val="FF0000"/>
          <w:szCs w:val="24"/>
          <w:lang w:val="fr-FR"/>
        </w:rPr>
        <w:t>Y</w:t>
      </w:r>
      <w:r>
        <w:rPr>
          <w:szCs w:val="24"/>
          <w:lang w:val="fr-FR"/>
        </w:rPr>
        <w:t xml:space="preserve">/Add.1), qui lui ont permis de mieux appréhender la situation des droits de l’enfant dans l’État partie. Il se félicite du dialogue constructif qu’il a eu avec la délégation </w:t>
      </w:r>
      <w:r>
        <w:rPr>
          <w:color w:val="FF0000"/>
          <w:szCs w:val="24"/>
          <w:lang w:val="fr-FR"/>
        </w:rPr>
        <w:t>[multisectorielle] [de haut niveau]</w:t>
      </w:r>
      <w:r>
        <w:rPr>
          <w:szCs w:val="24"/>
          <w:lang w:val="fr-FR"/>
        </w:rPr>
        <w:t xml:space="preserve"> de l’État partie. </w:t>
      </w:r>
    </w:p>
    <w:p w:rsidR="002C5D02" w:rsidRDefault="002C5D02" w:rsidP="002C5D02">
      <w:pPr>
        <w:pStyle w:val="HChG"/>
        <w:rPr>
          <w:b w:val="0"/>
          <w:szCs w:val="24"/>
          <w:lang w:val="fr-FR"/>
        </w:rPr>
      </w:pPr>
      <w:r>
        <w:rPr>
          <w:szCs w:val="24"/>
          <w:lang w:val="fr-FR"/>
        </w:rPr>
        <w:tab/>
        <w:t>II.</w:t>
      </w:r>
      <w:r>
        <w:rPr>
          <w:szCs w:val="24"/>
          <w:lang w:val="fr-FR"/>
        </w:rPr>
        <w:tab/>
        <w:t xml:space="preserve">Mesures </w:t>
      </w:r>
      <w:r>
        <w:t>de</w:t>
      </w:r>
      <w:r>
        <w:rPr>
          <w:szCs w:val="24"/>
          <w:lang w:val="fr-FR"/>
        </w:rPr>
        <w:t xml:space="preserve"> suivi adoptées et progrès réalisés </w:t>
      </w:r>
      <w:r>
        <w:rPr>
          <w:szCs w:val="24"/>
          <w:lang w:val="fr-FR"/>
        </w:rPr>
        <w:br/>
        <w:t>par l’État partie</w:t>
      </w:r>
    </w:p>
    <w:p w:rsidR="002C5D02" w:rsidRDefault="002C5D02" w:rsidP="002C5D02">
      <w:pPr>
        <w:pStyle w:val="SingleTxtG"/>
      </w:pPr>
      <w:r>
        <w:t>3.</w:t>
      </w:r>
      <w:r>
        <w:tab/>
        <w:t>Le Comité prend note avec satisfaction de la ratification des instruments ci-après ou de l’adhésion à ces instruments :</w:t>
      </w:r>
    </w:p>
    <w:p w:rsidR="002C5D02" w:rsidRDefault="002C5D02" w:rsidP="002C5D02">
      <w:pPr>
        <w:pStyle w:val="SingleTxtG"/>
      </w:pPr>
      <w:r>
        <w:tab/>
        <w:t>a)</w:t>
      </w:r>
      <w:r>
        <w:tab/>
        <w:t xml:space="preserve">Le </w:t>
      </w:r>
      <w:r>
        <w:rPr>
          <w:color w:val="FF0000"/>
        </w:rPr>
        <w:t xml:space="preserve">(La)…, </w:t>
      </w:r>
      <w:r>
        <w:t xml:space="preserve">en </w:t>
      </w:r>
      <w:r>
        <w:rPr>
          <w:color w:val="FF0000"/>
        </w:rPr>
        <w:t>année </w:t>
      </w:r>
      <w:r>
        <w:t>;</w:t>
      </w:r>
    </w:p>
    <w:p w:rsidR="002C5D02" w:rsidRDefault="002C5D02" w:rsidP="002C5D02">
      <w:pPr>
        <w:pStyle w:val="SingleTxtG"/>
      </w:pPr>
      <w:r>
        <w:tab/>
        <w:t>b)</w:t>
      </w:r>
      <w:r>
        <w:tab/>
        <w:t xml:space="preserve">Le </w:t>
      </w:r>
      <w:r>
        <w:rPr>
          <w:color w:val="FF0000"/>
        </w:rPr>
        <w:t xml:space="preserve">(La)…, </w:t>
      </w:r>
      <w:r>
        <w:t xml:space="preserve">le </w:t>
      </w:r>
      <w:r>
        <w:rPr>
          <w:color w:val="FF0000"/>
        </w:rPr>
        <w:t>date </w:t>
      </w:r>
      <w:r>
        <w:t>;</w:t>
      </w:r>
    </w:p>
    <w:p w:rsidR="002C5D02" w:rsidRDefault="002C5D02" w:rsidP="002C5D02">
      <w:pPr>
        <w:pStyle w:val="SingleTxtG"/>
      </w:pPr>
      <w:r>
        <w:tab/>
        <w:t>c)</w:t>
      </w:r>
      <w:r>
        <w:tab/>
      </w:r>
      <w:r>
        <w:rPr>
          <w:color w:val="FF0000"/>
        </w:rPr>
        <w:t>…</w:t>
      </w:r>
      <w:r>
        <w:t>.</w:t>
      </w:r>
    </w:p>
    <w:p w:rsidR="002C5D02" w:rsidRDefault="002C5D02" w:rsidP="002C5D02">
      <w:pPr>
        <w:pStyle w:val="HChG"/>
        <w:rPr>
          <w:b w:val="0"/>
          <w:szCs w:val="24"/>
        </w:rPr>
      </w:pPr>
      <w:r>
        <w:rPr>
          <w:szCs w:val="24"/>
        </w:rPr>
        <w:tab/>
        <w:t>III.</w:t>
      </w:r>
      <w:r>
        <w:rPr>
          <w:szCs w:val="24"/>
        </w:rPr>
        <w:tab/>
      </w:r>
      <w:r>
        <w:t>Facteurs</w:t>
      </w:r>
      <w:r>
        <w:rPr>
          <w:szCs w:val="24"/>
        </w:rPr>
        <w:t xml:space="preserve"> et difficultés entravant la mise en œuvre </w:t>
      </w:r>
      <w:r>
        <w:rPr>
          <w:szCs w:val="24"/>
        </w:rPr>
        <w:br/>
        <w:t xml:space="preserve">de la Convention </w:t>
      </w:r>
      <w:r>
        <w:rPr>
          <w:szCs w:val="24"/>
          <w:highlight w:val="yellow"/>
        </w:rPr>
        <w:t>[[Cette rubrique peut ne pas figurer. Renuméroter les rubriques suivantes si nécessaire]]</w:t>
      </w:r>
    </w:p>
    <w:p w:rsidR="002C5D02" w:rsidRDefault="002C5D02" w:rsidP="002C5D02">
      <w:pPr>
        <w:pStyle w:val="HChG"/>
        <w:rPr>
          <w:b w:val="0"/>
          <w:szCs w:val="24"/>
        </w:rPr>
      </w:pPr>
      <w:r>
        <w:rPr>
          <w:szCs w:val="24"/>
        </w:rPr>
        <w:tab/>
        <w:t>IV.</w:t>
      </w:r>
      <w:r>
        <w:rPr>
          <w:szCs w:val="24"/>
        </w:rPr>
        <w:tab/>
      </w:r>
      <w:r>
        <w:t>Principaux</w:t>
      </w:r>
      <w:r>
        <w:rPr>
          <w:szCs w:val="24"/>
        </w:rPr>
        <w:t xml:space="preserve"> sujets de préoccupation et recommandations</w:t>
      </w:r>
    </w:p>
    <w:p w:rsidR="002C5D02" w:rsidRDefault="002C5D02" w:rsidP="002C5D02">
      <w:pPr>
        <w:pStyle w:val="SingleTxtG"/>
        <w:rPr>
          <w:szCs w:val="24"/>
        </w:rPr>
      </w:pPr>
      <w:r>
        <w:rPr>
          <w:szCs w:val="24"/>
        </w:rPr>
        <w:t>4.</w:t>
      </w:r>
      <w:r>
        <w:rPr>
          <w:szCs w:val="24"/>
        </w:rPr>
        <w:tab/>
        <w:t xml:space="preserve">Le Comité rappelle à l’État partie le caractère indivisible et interdépendant de tous les droits consacrés par la Convention et souligne l’importance de toutes les recommandations figurant dans les présentes observations finales. Il appelle l’attention de l’État partie sur les recommandations concernant les domaines ci-après, dans lesquels il est urgent de prendre des mesures : </w:t>
      </w:r>
      <w:r>
        <w:rPr>
          <w:szCs w:val="24"/>
          <w:highlight w:val="yellow"/>
        </w:rPr>
        <w:t>[[Les domaines varient]]</w:t>
      </w:r>
      <w:r>
        <w:rPr>
          <w:szCs w:val="24"/>
        </w:rPr>
        <w:t xml:space="preserve"> la définition de l’enfant, en </w:t>
      </w:r>
      <w:r>
        <w:rPr>
          <w:szCs w:val="24"/>
        </w:rPr>
        <w:lastRenderedPageBreak/>
        <w:t>particulier eu égard aux mariages d’enfants (par. </w:t>
      </w:r>
      <w:r>
        <w:rPr>
          <w:color w:val="FF0000"/>
          <w:szCs w:val="24"/>
        </w:rPr>
        <w:t>XX</w:t>
      </w:r>
      <w:r>
        <w:rPr>
          <w:szCs w:val="24"/>
        </w:rPr>
        <w:t>), la non-discrimination (par. </w:t>
      </w:r>
      <w:r>
        <w:rPr>
          <w:color w:val="FF0000"/>
          <w:szCs w:val="24"/>
        </w:rPr>
        <w:t>XX</w:t>
      </w:r>
      <w:r>
        <w:rPr>
          <w:szCs w:val="24"/>
        </w:rPr>
        <w:t xml:space="preserve"> et </w:t>
      </w:r>
      <w:r>
        <w:rPr>
          <w:color w:val="FF0000"/>
          <w:szCs w:val="24"/>
        </w:rPr>
        <w:t>XX</w:t>
      </w:r>
      <w:r>
        <w:rPr>
          <w:szCs w:val="24"/>
        </w:rPr>
        <w:t>), le droit à la vie, à la survie et au développement (par. </w:t>
      </w:r>
      <w:r>
        <w:rPr>
          <w:color w:val="FF0000"/>
          <w:szCs w:val="24"/>
        </w:rPr>
        <w:t>XX</w:t>
      </w:r>
      <w:r>
        <w:rPr>
          <w:szCs w:val="24"/>
        </w:rPr>
        <w:t>), la torture et les mauvais traitements (par. </w:t>
      </w:r>
      <w:r>
        <w:rPr>
          <w:color w:val="FF0000"/>
          <w:szCs w:val="24"/>
        </w:rPr>
        <w:t>XX</w:t>
      </w:r>
      <w:r>
        <w:rPr>
          <w:szCs w:val="24"/>
        </w:rPr>
        <w:t>), les enfants dans les conflits armés (par. </w:t>
      </w:r>
      <w:r>
        <w:rPr>
          <w:color w:val="FF0000"/>
          <w:szCs w:val="24"/>
        </w:rPr>
        <w:t>XX</w:t>
      </w:r>
      <w:r>
        <w:rPr>
          <w:szCs w:val="24"/>
        </w:rPr>
        <w:t>) et la justice pour mineurs (par. </w:t>
      </w:r>
      <w:r>
        <w:rPr>
          <w:color w:val="FF0000"/>
          <w:szCs w:val="24"/>
        </w:rPr>
        <w:t>XX</w:t>
      </w:r>
      <w:r>
        <w:rPr>
          <w:szCs w:val="24"/>
        </w:rPr>
        <w:t>).</w:t>
      </w:r>
    </w:p>
    <w:p w:rsidR="002C5D02" w:rsidRDefault="002C5D02" w:rsidP="002C5D02">
      <w:pPr>
        <w:pStyle w:val="H1G"/>
      </w:pPr>
      <w:r>
        <w:tab/>
        <w:t>A.</w:t>
      </w:r>
      <w:r>
        <w:tab/>
        <w:t>Mesures d’application générales (art. 4, 42 et 44 (par. 6))</w:t>
      </w:r>
    </w:p>
    <w:p w:rsidR="002C5D02" w:rsidRDefault="002C5D02" w:rsidP="002C5D02">
      <w:pPr>
        <w:pStyle w:val="H1G"/>
        <w:rPr>
          <w:szCs w:val="24"/>
        </w:rPr>
      </w:pPr>
      <w:r>
        <w:rPr>
          <w:szCs w:val="24"/>
          <w:lang w:val="fr-FR"/>
        </w:rPr>
        <w:tab/>
        <w:t>B.</w:t>
      </w:r>
      <w:r>
        <w:rPr>
          <w:szCs w:val="24"/>
          <w:lang w:val="fr-FR"/>
        </w:rPr>
        <w:tab/>
      </w:r>
      <w:r>
        <w:t>Définition</w:t>
      </w:r>
      <w:r>
        <w:rPr>
          <w:szCs w:val="24"/>
          <w:lang w:val="fr-FR"/>
        </w:rPr>
        <w:t xml:space="preserve"> de l’enfant (art. 1)</w:t>
      </w:r>
    </w:p>
    <w:p w:rsidR="002C5D02" w:rsidRDefault="002C5D02" w:rsidP="002C5D02">
      <w:pPr>
        <w:pStyle w:val="H1G"/>
        <w:rPr>
          <w:b w:val="0"/>
          <w:szCs w:val="24"/>
          <w:lang w:val="fr-FR"/>
        </w:rPr>
      </w:pPr>
      <w:r>
        <w:rPr>
          <w:szCs w:val="24"/>
          <w:lang w:val="fr-FR"/>
        </w:rPr>
        <w:tab/>
        <w:t>C.</w:t>
      </w:r>
      <w:r>
        <w:rPr>
          <w:szCs w:val="24"/>
          <w:lang w:val="fr-FR"/>
        </w:rPr>
        <w:tab/>
      </w:r>
      <w:r>
        <w:t>Principes</w:t>
      </w:r>
      <w:r>
        <w:rPr>
          <w:szCs w:val="24"/>
          <w:lang w:val="fr-FR"/>
        </w:rPr>
        <w:t xml:space="preserve"> généraux (art. 2, 3, 6 et 12)</w:t>
      </w:r>
    </w:p>
    <w:p w:rsidR="002C5D02" w:rsidRDefault="002C5D02" w:rsidP="002C5D02">
      <w:pPr>
        <w:pStyle w:val="H1G"/>
        <w:rPr>
          <w:b w:val="0"/>
          <w:szCs w:val="24"/>
          <w:lang w:val="fr-FR"/>
        </w:rPr>
      </w:pPr>
      <w:r>
        <w:rPr>
          <w:szCs w:val="24"/>
          <w:lang w:val="fr-FR"/>
        </w:rPr>
        <w:tab/>
        <w:t>D.</w:t>
      </w:r>
      <w:r>
        <w:rPr>
          <w:szCs w:val="24"/>
          <w:lang w:val="fr-FR"/>
        </w:rPr>
        <w:tab/>
      </w:r>
      <w:r>
        <w:t>Libertés</w:t>
      </w:r>
      <w:r>
        <w:rPr>
          <w:szCs w:val="24"/>
          <w:lang w:val="fr-FR"/>
        </w:rPr>
        <w:t xml:space="preserve"> et droits civils (art. 7, 8 et 13 à 17)</w:t>
      </w:r>
    </w:p>
    <w:p w:rsidR="002C5D02" w:rsidRDefault="002C5D02" w:rsidP="002C5D02">
      <w:pPr>
        <w:pStyle w:val="H1G"/>
        <w:rPr>
          <w:b w:val="0"/>
          <w:szCs w:val="24"/>
          <w:lang w:val="fr-FR"/>
        </w:rPr>
      </w:pPr>
      <w:r>
        <w:rPr>
          <w:szCs w:val="24"/>
          <w:lang w:val="fr-FR"/>
        </w:rPr>
        <w:tab/>
        <w:t>E.</w:t>
      </w:r>
      <w:r>
        <w:rPr>
          <w:szCs w:val="24"/>
          <w:lang w:val="fr-FR"/>
        </w:rPr>
        <w:tab/>
      </w:r>
      <w:r>
        <w:t>Violence</w:t>
      </w:r>
      <w:r>
        <w:rPr>
          <w:szCs w:val="24"/>
          <w:lang w:val="fr-FR"/>
        </w:rPr>
        <w:t xml:space="preserve"> à l’égard des enfants (art. 19, 24 (par. 3), 28 (par. 2), </w:t>
      </w:r>
      <w:r>
        <w:rPr>
          <w:szCs w:val="24"/>
          <w:lang w:val="fr-FR"/>
        </w:rPr>
        <w:br/>
        <w:t>34, 37 a) et 39)</w:t>
      </w:r>
    </w:p>
    <w:p w:rsidR="002C5D02" w:rsidRDefault="002C5D02" w:rsidP="002C5D02">
      <w:pPr>
        <w:pStyle w:val="H1G"/>
        <w:rPr>
          <w:b w:val="0"/>
          <w:szCs w:val="24"/>
          <w:lang w:val="fr-FR"/>
        </w:rPr>
      </w:pPr>
      <w:r>
        <w:rPr>
          <w:szCs w:val="24"/>
          <w:lang w:val="fr-FR"/>
        </w:rPr>
        <w:tab/>
        <w:t>F.</w:t>
      </w:r>
      <w:r>
        <w:rPr>
          <w:szCs w:val="24"/>
          <w:lang w:val="fr-FR"/>
        </w:rPr>
        <w:tab/>
      </w:r>
      <w:r>
        <w:t>Milieu</w:t>
      </w:r>
      <w:r>
        <w:rPr>
          <w:szCs w:val="24"/>
          <w:lang w:val="fr-FR"/>
        </w:rPr>
        <w:t xml:space="preserve"> familial et protection de remplacement (art. 5, 9 à 11, </w:t>
      </w:r>
      <w:r>
        <w:rPr>
          <w:szCs w:val="24"/>
          <w:lang w:val="fr-FR"/>
        </w:rPr>
        <w:br/>
        <w:t>18 (par. 1 et 2), 20, 21, 25 et 27 (par. 4))</w:t>
      </w:r>
    </w:p>
    <w:p w:rsidR="002C5D02" w:rsidRDefault="002C5D02" w:rsidP="002C5D02">
      <w:pPr>
        <w:pStyle w:val="H1G"/>
        <w:rPr>
          <w:b w:val="0"/>
          <w:szCs w:val="24"/>
          <w:lang w:val="fr-FR"/>
        </w:rPr>
      </w:pPr>
      <w:r>
        <w:rPr>
          <w:szCs w:val="24"/>
          <w:lang w:val="fr-FR"/>
        </w:rPr>
        <w:tab/>
        <w:t>G.</w:t>
      </w:r>
      <w:r>
        <w:rPr>
          <w:szCs w:val="24"/>
          <w:lang w:val="fr-FR"/>
        </w:rPr>
        <w:tab/>
      </w:r>
      <w:r>
        <w:t>Handicap</w:t>
      </w:r>
      <w:r>
        <w:rPr>
          <w:szCs w:val="24"/>
          <w:lang w:val="fr-FR"/>
        </w:rPr>
        <w:t xml:space="preserve">, santé de base et bien-être (art. 6, 18 (par. 3), 23, 24, 26, </w:t>
      </w:r>
      <w:r>
        <w:rPr>
          <w:szCs w:val="24"/>
          <w:lang w:val="fr-FR"/>
        </w:rPr>
        <w:br/>
        <w:t>27 (par. 1 à 3) et 33)</w:t>
      </w:r>
    </w:p>
    <w:p w:rsidR="002C5D02" w:rsidRDefault="002C5D02" w:rsidP="002C5D02">
      <w:pPr>
        <w:pStyle w:val="H1G"/>
        <w:rPr>
          <w:szCs w:val="24"/>
          <w:lang w:val="fr-FR"/>
        </w:rPr>
      </w:pPr>
      <w:r>
        <w:rPr>
          <w:bCs/>
          <w:sz w:val="23"/>
          <w:szCs w:val="23"/>
        </w:rPr>
        <w:tab/>
        <w:t>H.</w:t>
      </w:r>
      <w:r>
        <w:rPr>
          <w:bCs/>
          <w:sz w:val="23"/>
          <w:szCs w:val="23"/>
        </w:rPr>
        <w:tab/>
      </w:r>
      <w:r>
        <w:t>Éducation</w:t>
      </w:r>
      <w:r>
        <w:rPr>
          <w:szCs w:val="24"/>
          <w:lang w:val="fr-FR"/>
        </w:rPr>
        <w:t>, loisirs et activités culturelles (art. 28 à 31)</w:t>
      </w:r>
    </w:p>
    <w:p w:rsidR="002C5D02" w:rsidRDefault="002C5D02" w:rsidP="002C5D02">
      <w:pPr>
        <w:pStyle w:val="H1G"/>
        <w:rPr>
          <w:szCs w:val="24"/>
          <w:lang w:val="fr-FR"/>
        </w:rPr>
      </w:pPr>
      <w:r>
        <w:rPr>
          <w:szCs w:val="24"/>
          <w:lang w:val="fr-FR"/>
        </w:rPr>
        <w:tab/>
        <w:t>I.</w:t>
      </w:r>
      <w:r>
        <w:rPr>
          <w:szCs w:val="24"/>
          <w:lang w:val="fr-FR"/>
        </w:rPr>
        <w:tab/>
      </w:r>
      <w:r>
        <w:t>Mesures</w:t>
      </w:r>
      <w:r>
        <w:rPr>
          <w:szCs w:val="24"/>
          <w:lang w:val="fr-FR"/>
        </w:rPr>
        <w:t xml:space="preserve"> de protection spéciales (art. 22, 30, 32, 33, 35, 36, </w:t>
      </w:r>
      <w:r>
        <w:rPr>
          <w:szCs w:val="24"/>
          <w:lang w:val="fr-FR"/>
        </w:rPr>
        <w:br/>
        <w:t>37 b) à d) et 38 à 40)</w:t>
      </w:r>
    </w:p>
    <w:p w:rsidR="002C5D02" w:rsidRDefault="002C5D02" w:rsidP="002C5D02">
      <w:pPr>
        <w:pStyle w:val="H1G"/>
        <w:rPr>
          <w:b w:val="0"/>
          <w:szCs w:val="24"/>
          <w:lang w:val="fr-FR"/>
        </w:rPr>
      </w:pPr>
      <w:r>
        <w:rPr>
          <w:szCs w:val="24"/>
          <w:lang w:val="fr-FR"/>
        </w:rPr>
        <w:tab/>
        <w:t>J.</w:t>
      </w:r>
      <w:r>
        <w:rPr>
          <w:szCs w:val="24"/>
          <w:lang w:val="fr-FR"/>
        </w:rPr>
        <w:tab/>
      </w:r>
      <w:r>
        <w:t>Ratification</w:t>
      </w:r>
      <w:r>
        <w:rPr>
          <w:szCs w:val="24"/>
          <w:lang w:val="fr-FR"/>
        </w:rPr>
        <w:t xml:space="preserve"> </w:t>
      </w:r>
      <w:r>
        <w:rPr>
          <w:color w:val="FF0000"/>
          <w:szCs w:val="24"/>
          <w:lang w:val="fr-FR"/>
        </w:rPr>
        <w:t xml:space="preserve">[du Protocole facultatif établissant une procédure </w:t>
      </w:r>
      <w:r>
        <w:rPr>
          <w:color w:val="FF0000"/>
          <w:szCs w:val="24"/>
          <w:lang w:val="fr-FR"/>
        </w:rPr>
        <w:br/>
        <w:t xml:space="preserve">de présentation de communications] [des Protocoles facultatifs </w:t>
      </w:r>
      <w:r>
        <w:rPr>
          <w:color w:val="FF0000"/>
          <w:szCs w:val="24"/>
          <w:lang w:val="fr-FR"/>
        </w:rPr>
        <w:br/>
        <w:t>à la Convention]</w:t>
      </w:r>
    </w:p>
    <w:p w:rsidR="002C5D02" w:rsidRDefault="002C5D02" w:rsidP="002C5D02">
      <w:pPr>
        <w:pStyle w:val="SingleTxtG"/>
        <w:rPr>
          <w:b/>
          <w:szCs w:val="24"/>
          <w:lang w:val="fr-FR"/>
        </w:rPr>
      </w:pPr>
      <w:r>
        <w:rPr>
          <w:szCs w:val="24"/>
          <w:lang w:val="fr-FR"/>
        </w:rPr>
        <w:t>5.</w:t>
      </w:r>
      <w:r>
        <w:rPr>
          <w:szCs w:val="24"/>
          <w:lang w:val="fr-FR"/>
        </w:rPr>
        <w:tab/>
      </w:r>
      <w:r>
        <w:rPr>
          <w:b/>
          <w:szCs w:val="24"/>
          <w:lang w:val="fr-FR"/>
        </w:rPr>
        <w:t xml:space="preserve">Le Comité recommande à l’État partie de ratifier </w:t>
      </w:r>
      <w:r>
        <w:rPr>
          <w:b/>
          <w:color w:val="FF0000"/>
          <w:szCs w:val="24"/>
          <w:lang w:val="fr-FR"/>
        </w:rPr>
        <w:t>[le Protocole facultatif à la Convention relative aux droits de l’enfant établissant une procédure de présentation de communications] [les Protocoles facultatifs à la Convention, concernant l’implication d’enfants dans les conflits armés et concernant la vente d’enfants, la prostitution des enfants et la pornographie mettant en scène des enfants]</w:t>
      </w:r>
      <w:r>
        <w:rPr>
          <w:b/>
          <w:szCs w:val="24"/>
          <w:lang w:val="fr-FR"/>
        </w:rPr>
        <w:t>, afin de renforcer encore le respect des droits des enfants.</w:t>
      </w:r>
    </w:p>
    <w:p w:rsidR="002C5D02" w:rsidRDefault="002C5D02" w:rsidP="002C5D02">
      <w:pPr>
        <w:pStyle w:val="H1G"/>
        <w:rPr>
          <w:b w:val="0"/>
          <w:szCs w:val="24"/>
          <w:lang w:val="fr-FR"/>
        </w:rPr>
      </w:pPr>
      <w:r>
        <w:rPr>
          <w:szCs w:val="24"/>
          <w:lang w:val="fr-FR"/>
        </w:rPr>
        <w:tab/>
        <w:t>K.</w:t>
      </w:r>
      <w:r>
        <w:rPr>
          <w:szCs w:val="24"/>
          <w:lang w:val="fr-FR"/>
        </w:rPr>
        <w:tab/>
      </w:r>
      <w:r>
        <w:t>Ratification</w:t>
      </w:r>
      <w:r>
        <w:rPr>
          <w:szCs w:val="24"/>
          <w:lang w:val="fr-FR"/>
        </w:rPr>
        <w:t xml:space="preserve"> d’instruments internationaux relatifs </w:t>
      </w:r>
      <w:r>
        <w:rPr>
          <w:szCs w:val="24"/>
          <w:lang w:val="fr-FR"/>
        </w:rPr>
        <w:br/>
        <w:t>aux droits de l’homme</w:t>
      </w:r>
    </w:p>
    <w:p w:rsidR="002C5D02" w:rsidRDefault="002C5D02" w:rsidP="002C5D02">
      <w:pPr>
        <w:pStyle w:val="SingleTxtG"/>
        <w:rPr>
          <w:b/>
          <w:szCs w:val="24"/>
          <w:lang w:val="fr-FR"/>
        </w:rPr>
      </w:pPr>
      <w:r>
        <w:rPr>
          <w:szCs w:val="24"/>
          <w:lang w:val="fr-FR"/>
        </w:rPr>
        <w:t>6.</w:t>
      </w:r>
      <w:r>
        <w:rPr>
          <w:szCs w:val="24"/>
          <w:lang w:val="fr-FR"/>
        </w:rPr>
        <w:tab/>
      </w:r>
      <w:r>
        <w:rPr>
          <w:b/>
          <w:szCs w:val="24"/>
          <w:lang w:val="fr-FR"/>
        </w:rPr>
        <w:t xml:space="preserve">Le Comité recommande à l’État partie </w:t>
      </w:r>
      <w:r>
        <w:rPr>
          <w:b/>
          <w:color w:val="FF0000"/>
          <w:szCs w:val="24"/>
          <w:lang w:val="fr-FR"/>
        </w:rPr>
        <w:t>[de ratifier ] [d’envisager de ratifier]</w:t>
      </w:r>
      <w:r>
        <w:rPr>
          <w:b/>
          <w:szCs w:val="24"/>
          <w:lang w:val="fr-FR"/>
        </w:rPr>
        <w:t xml:space="preserve"> les instruments relatifs aux droits de l’homme fondamentaux ci-après auxquels il n’est pas encore partie, afin de renforcer encore le respect des droits de l’enfant :</w:t>
      </w:r>
    </w:p>
    <w:p w:rsidR="002C5D02" w:rsidRDefault="002C5D02" w:rsidP="002C5D02">
      <w:pPr>
        <w:pStyle w:val="SingleTxtG"/>
        <w:rPr>
          <w:szCs w:val="24"/>
          <w:lang w:val="fr-FR"/>
        </w:rPr>
      </w:pPr>
      <w:r>
        <w:rPr>
          <w:szCs w:val="24"/>
          <w:lang w:val="fr-FR"/>
        </w:rPr>
        <w:tab/>
        <w:t>a)</w:t>
      </w:r>
      <w:r>
        <w:rPr>
          <w:szCs w:val="24"/>
          <w:lang w:val="fr-FR"/>
        </w:rPr>
        <w:tab/>
      </w:r>
      <w:r>
        <w:rPr>
          <w:color w:val="FF0000"/>
          <w:szCs w:val="24"/>
          <w:lang w:val="fr-FR"/>
        </w:rPr>
        <w:t>… </w:t>
      </w:r>
      <w:r>
        <w:rPr>
          <w:szCs w:val="24"/>
          <w:lang w:val="fr-FR"/>
        </w:rPr>
        <w:t>;</w:t>
      </w:r>
    </w:p>
    <w:p w:rsidR="002C5D02" w:rsidRDefault="002C5D02" w:rsidP="002C5D02">
      <w:pPr>
        <w:pStyle w:val="SingleTxtG"/>
        <w:rPr>
          <w:szCs w:val="24"/>
          <w:lang w:val="fr-FR"/>
        </w:rPr>
      </w:pPr>
      <w:r>
        <w:rPr>
          <w:szCs w:val="24"/>
          <w:lang w:val="fr-FR"/>
        </w:rPr>
        <w:tab/>
        <w:t>b)</w:t>
      </w:r>
      <w:r>
        <w:rPr>
          <w:szCs w:val="24"/>
          <w:lang w:val="fr-FR"/>
        </w:rPr>
        <w:tab/>
      </w:r>
      <w:r>
        <w:rPr>
          <w:color w:val="FF0000"/>
          <w:szCs w:val="24"/>
          <w:lang w:val="fr-FR"/>
        </w:rPr>
        <w:t>… </w:t>
      </w:r>
      <w:r>
        <w:rPr>
          <w:szCs w:val="24"/>
          <w:lang w:val="fr-FR"/>
        </w:rPr>
        <w:t>;</w:t>
      </w:r>
    </w:p>
    <w:p w:rsidR="002C5D02" w:rsidRDefault="002C5D02" w:rsidP="002C5D02">
      <w:pPr>
        <w:pStyle w:val="SingleTxtG"/>
        <w:rPr>
          <w:szCs w:val="24"/>
          <w:lang w:val="fr-FR"/>
        </w:rPr>
      </w:pPr>
      <w:r>
        <w:rPr>
          <w:szCs w:val="24"/>
          <w:lang w:val="fr-FR"/>
        </w:rPr>
        <w:tab/>
        <w:t>c)</w:t>
      </w:r>
      <w:r>
        <w:rPr>
          <w:szCs w:val="24"/>
          <w:lang w:val="fr-FR"/>
        </w:rPr>
        <w:tab/>
      </w:r>
      <w:r>
        <w:rPr>
          <w:color w:val="FF0000"/>
          <w:szCs w:val="24"/>
          <w:lang w:val="fr-FR"/>
        </w:rPr>
        <w:t>…</w:t>
      </w:r>
      <w:r>
        <w:rPr>
          <w:szCs w:val="24"/>
          <w:lang w:val="fr-FR"/>
        </w:rPr>
        <w:t>.</w:t>
      </w:r>
    </w:p>
    <w:p w:rsidR="002C5D02" w:rsidRDefault="002C5D02" w:rsidP="002C5D02">
      <w:pPr>
        <w:pStyle w:val="H1G"/>
        <w:rPr>
          <w:b w:val="0"/>
          <w:szCs w:val="24"/>
          <w:lang w:val="fr-FR"/>
        </w:rPr>
      </w:pPr>
      <w:r>
        <w:rPr>
          <w:szCs w:val="24"/>
          <w:lang w:val="fr-FR"/>
        </w:rPr>
        <w:lastRenderedPageBreak/>
        <w:tab/>
        <w:t>L.</w:t>
      </w:r>
      <w:r>
        <w:rPr>
          <w:szCs w:val="24"/>
          <w:lang w:val="fr-FR"/>
        </w:rPr>
        <w:tab/>
      </w:r>
      <w:r>
        <w:rPr>
          <w:color w:val="FF0000"/>
          <w:szCs w:val="24"/>
          <w:lang w:val="fr-FR"/>
        </w:rPr>
        <w:t>[Coopération avec les organismes régionaux] [Coopération avec les organismes internationaux] [Coopération avec les organismes régionaux et internationaux]</w:t>
      </w:r>
    </w:p>
    <w:p w:rsidR="002C5D02" w:rsidRDefault="002C5D02" w:rsidP="002C5D02">
      <w:pPr>
        <w:pStyle w:val="SingleTxtG"/>
        <w:rPr>
          <w:b/>
          <w:szCs w:val="24"/>
          <w:lang w:val="fr-FR"/>
        </w:rPr>
      </w:pPr>
      <w:r>
        <w:rPr>
          <w:szCs w:val="24"/>
          <w:lang w:val="fr-FR"/>
        </w:rPr>
        <w:t>7.</w:t>
      </w:r>
      <w:r>
        <w:rPr>
          <w:b/>
          <w:szCs w:val="24"/>
          <w:lang w:val="fr-FR"/>
        </w:rPr>
        <w:tab/>
        <w:t>Le Comité recommande à l’État partie de coopérer avec …</w:t>
      </w:r>
    </w:p>
    <w:p w:rsidR="002C5D02" w:rsidRDefault="002C5D02" w:rsidP="002C5D02">
      <w:pPr>
        <w:pStyle w:val="HChG"/>
        <w:rPr>
          <w:b w:val="0"/>
          <w:szCs w:val="24"/>
          <w:lang w:val="fr-FR"/>
        </w:rPr>
      </w:pPr>
      <w:r>
        <w:rPr>
          <w:szCs w:val="24"/>
          <w:lang w:val="fr-FR"/>
        </w:rPr>
        <w:tab/>
        <w:t>V.</w:t>
      </w:r>
      <w:r>
        <w:rPr>
          <w:szCs w:val="24"/>
          <w:lang w:val="fr-FR"/>
        </w:rPr>
        <w:tab/>
      </w:r>
      <w:r>
        <w:t>Mise</w:t>
      </w:r>
      <w:r>
        <w:rPr>
          <w:szCs w:val="24"/>
          <w:lang w:val="fr-FR"/>
        </w:rPr>
        <w:t xml:space="preserve"> en œuvre et soumission de rapports</w:t>
      </w:r>
    </w:p>
    <w:p w:rsidR="002C5D02" w:rsidRDefault="002C5D02" w:rsidP="002C5D02">
      <w:pPr>
        <w:pStyle w:val="H1G"/>
        <w:rPr>
          <w:b w:val="0"/>
          <w:szCs w:val="24"/>
          <w:lang w:val="fr-FR"/>
        </w:rPr>
      </w:pPr>
      <w:r>
        <w:rPr>
          <w:szCs w:val="24"/>
          <w:lang w:val="fr-FR"/>
        </w:rPr>
        <w:tab/>
        <w:t>A.</w:t>
      </w:r>
      <w:r>
        <w:rPr>
          <w:szCs w:val="24"/>
          <w:lang w:val="fr-FR"/>
        </w:rPr>
        <w:tab/>
        <w:t>Suivi et diffusion</w:t>
      </w:r>
    </w:p>
    <w:p w:rsidR="002C5D02" w:rsidRDefault="002C5D02" w:rsidP="002C5D02">
      <w:pPr>
        <w:pStyle w:val="SingleTxtG"/>
        <w:rPr>
          <w:b/>
        </w:rPr>
      </w:pPr>
      <w:r>
        <w:rPr>
          <w:szCs w:val="24"/>
          <w:lang w:val="fr-FR"/>
        </w:rPr>
        <w:t>8.</w:t>
      </w:r>
      <w:r>
        <w:rPr>
          <w:szCs w:val="24"/>
          <w:lang w:val="fr-FR"/>
        </w:rPr>
        <w:tab/>
      </w:r>
      <w:r>
        <w:rPr>
          <w:b/>
        </w:rPr>
        <w:t xml:space="preserve">Le Comité </w:t>
      </w:r>
      <w:r>
        <w:rPr>
          <w:b/>
          <w:szCs w:val="24"/>
          <w:lang w:val="fr-FR"/>
        </w:rPr>
        <w:t>recommande</w:t>
      </w:r>
      <w:r>
        <w:rPr>
          <w:b/>
        </w:rPr>
        <w:t xml:space="preserve"> à l’État partie de prendre toutes les mesures voulues pour que les recommandations </w:t>
      </w:r>
      <w:r>
        <w:rPr>
          <w:b/>
          <w:bCs/>
        </w:rPr>
        <w:t>figurant dans les présentes observations finales soient pleinement mises en œuvre.</w:t>
      </w:r>
      <w:r>
        <w:rPr>
          <w:b/>
        </w:rPr>
        <w:t xml:space="preserve"> Il recommande également que le </w:t>
      </w:r>
      <w:r>
        <w:rPr>
          <w:b/>
          <w:color w:val="FF0000"/>
        </w:rPr>
        <w:t>[rapport initial] [énième</w:t>
      </w:r>
      <w:r>
        <w:rPr>
          <w:b/>
        </w:rPr>
        <w:t xml:space="preserve"> </w:t>
      </w:r>
      <w:r>
        <w:rPr>
          <w:b/>
          <w:color w:val="FF0000"/>
        </w:rPr>
        <w:t>rapport périodique] [rapport valant énième à énième</w:t>
      </w:r>
      <w:r>
        <w:rPr>
          <w:b/>
        </w:rPr>
        <w:t xml:space="preserve"> </w:t>
      </w:r>
      <w:r>
        <w:rPr>
          <w:b/>
          <w:color w:val="FF0000"/>
        </w:rPr>
        <w:t>rapports périodiques]</w:t>
      </w:r>
      <w:r>
        <w:rPr>
          <w:b/>
        </w:rPr>
        <w:t>, les réponses écrites de l’État partie et les présentes observations finales soient largement diffusés dans les langues du pays.</w:t>
      </w:r>
      <w:r>
        <w:t xml:space="preserve"> </w:t>
      </w:r>
      <w:r>
        <w:rPr>
          <w:b/>
          <w:highlight w:val="yellow"/>
        </w:rPr>
        <w:t>[[Ces phrases figurent dans toutes les observations finales ; d’autres phrases peuvent toutefois être ajoutées et donner lieu à des paragraphes supplémentaires.]]</w:t>
      </w:r>
      <w:r>
        <w:rPr>
          <w:b/>
        </w:rPr>
        <w:t xml:space="preserve"> </w:t>
      </w:r>
    </w:p>
    <w:p w:rsidR="002C5D02" w:rsidRDefault="002C5D02" w:rsidP="002C5D02">
      <w:pPr>
        <w:pStyle w:val="H1G"/>
        <w:rPr>
          <w:b w:val="0"/>
          <w:szCs w:val="24"/>
        </w:rPr>
      </w:pPr>
      <w:r>
        <w:tab/>
        <w:t>B.</w:t>
      </w:r>
      <w:r>
        <w:tab/>
        <w:t xml:space="preserve">Mécanisme national d’établissement des rapports et de suivi </w:t>
      </w:r>
      <w:r>
        <w:br/>
      </w:r>
      <w:r>
        <w:rPr>
          <w:szCs w:val="24"/>
          <w:highlight w:val="yellow"/>
        </w:rPr>
        <w:t>[[Cette rubrique peut ne pas figurer]]</w:t>
      </w:r>
    </w:p>
    <w:p w:rsidR="002C5D02" w:rsidRDefault="002C5D02" w:rsidP="002C5D02">
      <w:pPr>
        <w:pStyle w:val="SingleTxtG"/>
        <w:rPr>
          <w:b/>
          <w:szCs w:val="24"/>
        </w:rPr>
      </w:pPr>
      <w:r>
        <w:rPr>
          <w:szCs w:val="24"/>
        </w:rPr>
        <w:t>9.</w:t>
      </w:r>
      <w:r>
        <w:rPr>
          <w:szCs w:val="24"/>
        </w:rPr>
        <w:tab/>
      </w:r>
      <w:r>
        <w:rPr>
          <w:b/>
          <w:szCs w:val="24"/>
        </w:rPr>
        <w:t>Le Comité recommande à l’État partie de mettre en place un mécanisme national d’établissement des rapports et de suivi, en tant qu’organisme permanent de l’État, qui soit chargé de coordonner et d’élaborer les rapports devant être présentés aux mécanismes internationaux et régionaux des droits de l’homme et de nouer un dialogue avec ces mécanismes, et de coordonner et suivre l’exécution des obligations conventionnelles et la mise en œuvre des recommandations et des décisions émanant desdits mécanismes. Le Comité souligne que cette structure devrait être appuyée de manière appropriée et en permanence par un personnel qui lui soit spécialement affecté et devrait être à même de consulter systématiquement les institutions nationales des droits de l’homme et la société civile.</w:t>
      </w:r>
    </w:p>
    <w:p w:rsidR="002C5D02" w:rsidRDefault="002C5D02" w:rsidP="002C5D02">
      <w:pPr>
        <w:pStyle w:val="H1G"/>
        <w:rPr>
          <w:b w:val="0"/>
          <w:szCs w:val="24"/>
          <w:lang w:val="fr-FR"/>
        </w:rPr>
      </w:pPr>
      <w:r>
        <w:tab/>
        <w:t>C.</w:t>
      </w:r>
      <w:r>
        <w:tab/>
        <w:t>Prochain</w:t>
      </w:r>
      <w:r>
        <w:rPr>
          <w:szCs w:val="24"/>
          <w:lang w:val="fr-FR"/>
        </w:rPr>
        <w:t xml:space="preserve"> rapport</w:t>
      </w:r>
    </w:p>
    <w:p w:rsidR="002C5D02" w:rsidRDefault="002C5D02" w:rsidP="002C5D02">
      <w:pPr>
        <w:pStyle w:val="SingleTxtG"/>
        <w:rPr>
          <w:b/>
          <w:szCs w:val="24"/>
          <w:lang w:val="fr-FR"/>
        </w:rPr>
      </w:pPr>
      <w:r>
        <w:rPr>
          <w:szCs w:val="24"/>
          <w:lang w:val="fr-FR"/>
        </w:rPr>
        <w:t>10.</w:t>
      </w:r>
      <w:r>
        <w:rPr>
          <w:szCs w:val="24"/>
          <w:lang w:val="fr-FR"/>
        </w:rPr>
        <w:tab/>
      </w:r>
      <w:r>
        <w:rPr>
          <w:b/>
          <w:szCs w:val="24"/>
          <w:lang w:val="fr-FR"/>
        </w:rPr>
        <w:t xml:space="preserve">Le Comité invite l’État partie à soumettre son </w:t>
      </w:r>
      <w:r>
        <w:rPr>
          <w:b/>
          <w:color w:val="FF0000"/>
        </w:rPr>
        <w:t>[énième</w:t>
      </w:r>
      <w:r>
        <w:rPr>
          <w:b/>
        </w:rPr>
        <w:t xml:space="preserve"> </w:t>
      </w:r>
      <w:r>
        <w:rPr>
          <w:b/>
          <w:color w:val="FF0000"/>
        </w:rPr>
        <w:t>rapport périodique] [rapport valant énième à énième rapports périodiques]</w:t>
      </w:r>
      <w:r>
        <w:rPr>
          <w:b/>
          <w:szCs w:val="24"/>
          <w:lang w:val="fr-FR"/>
        </w:rPr>
        <w:t xml:space="preserve"> le </w:t>
      </w:r>
      <w:r>
        <w:rPr>
          <w:b/>
          <w:color w:val="FF0000"/>
          <w:szCs w:val="24"/>
          <w:lang w:val="fr-FR"/>
        </w:rPr>
        <w:t>date</w:t>
      </w:r>
      <w:r>
        <w:rPr>
          <w:b/>
          <w:szCs w:val="24"/>
          <w:lang w:val="fr-FR"/>
        </w:rPr>
        <w:t xml:space="preserve"> au plus tard et à y faire figurer des renseignements sur la suite donnée aux présentes observations finales. Ce rapport devra être conforme aux directives spécifiques à l’instrument adoptées le 31 janvier 2014 (CRC/C/58/Rev.3) et ne pas dépasser 21 200 mots (voir la résolution 68/268 de l’Assemblée générale, par. 16). Si l’État partie soumet un rapport dont le nombre de mots excède la limite fixée, il sera invité à en réduire la longueur de manière à se conformer à la résolution susmentionnée. S’il n’est pas en mesure de remanier son rapport et de le soumettre à nouveau, la traduction de ce rapport aux fins d’examen par le Comité ne pourra pas être garantie.</w:t>
      </w:r>
    </w:p>
    <w:p w:rsidR="002C5D02" w:rsidRDefault="002C5D02" w:rsidP="002C5D02">
      <w:pPr>
        <w:pStyle w:val="SingleTxtG"/>
        <w:rPr>
          <w:b/>
          <w:szCs w:val="24"/>
          <w:lang w:val="fr-FR"/>
        </w:rPr>
      </w:pPr>
      <w:r>
        <w:rPr>
          <w:szCs w:val="24"/>
          <w:lang w:val="fr-FR"/>
        </w:rPr>
        <w:t>11.</w:t>
      </w:r>
      <w:r>
        <w:rPr>
          <w:szCs w:val="24"/>
          <w:lang w:val="fr-FR"/>
        </w:rPr>
        <w:tab/>
      </w:r>
      <w:r>
        <w:rPr>
          <w:b/>
          <w:szCs w:val="24"/>
          <w:lang w:val="fr-FR"/>
        </w:rPr>
        <w:t xml:space="preserve">Le Comité invite en outre l’État partie à soumettre un document de base actualisé qui ne dépasse pas 42 400 mots et soit conforme aux prescriptions applicables aux documents de base figurant dans les directives harmonisées concernant l’établissement des rapports à présenter en vertu d’instruments internationaux relatifs aux droits de l’homme, englobant </w:t>
      </w:r>
      <w:r>
        <w:rPr>
          <w:b/>
        </w:rPr>
        <w:t>le document de base commun et les rapports pour chaque instrument</w:t>
      </w:r>
      <w:r>
        <w:rPr>
          <w:b/>
          <w:szCs w:val="24"/>
          <w:lang w:val="fr-FR"/>
        </w:rPr>
        <w:t xml:space="preserve"> (HRI/GEN/2/Rev.6, chap. I), et au paragraphe 16 de la résolution 68/268 de l’Assemblée générale.</w:t>
      </w:r>
    </w:p>
    <w:p w:rsidR="002C5D02" w:rsidRDefault="002C5D02" w:rsidP="002C5D02">
      <w:pPr>
        <w:pStyle w:val="SingleTxtG"/>
        <w:spacing w:before="240" w:after="0"/>
        <w:jc w:val="center"/>
        <w:rPr>
          <w:u w:val="single"/>
        </w:rPr>
      </w:pPr>
      <w:r>
        <w:rPr>
          <w:u w:val="single"/>
        </w:rPr>
        <w:tab/>
      </w:r>
      <w:r>
        <w:rPr>
          <w:u w:val="single"/>
        </w:rPr>
        <w:tab/>
      </w:r>
      <w:r>
        <w:rPr>
          <w:u w:val="single"/>
        </w:rPr>
        <w:tab/>
      </w:r>
    </w:p>
    <w:p w:rsidR="000C1293" w:rsidRPr="000C1293" w:rsidRDefault="000C1293" w:rsidP="000C1293">
      <w:pPr>
        <w:pStyle w:val="SingleTxtG"/>
      </w:pP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4035DC">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484F44"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4035DC">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EB265C">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2C5D02" w:rsidRDefault="002C5D02" w:rsidP="002C5D02">
      <w:pPr>
        <w:pStyle w:val="FootnoteText"/>
      </w:pPr>
      <w:r>
        <w:rPr>
          <w:rStyle w:val="FootnoteReference"/>
        </w:rPr>
        <w:tab/>
      </w:r>
      <w:r w:rsidRPr="002C5D02">
        <w:rPr>
          <w:rStyle w:val="FootnoteReference"/>
          <w:sz w:val="20"/>
          <w:vertAlign w:val="baseline"/>
        </w:rPr>
        <w:t>*</w:t>
      </w:r>
      <w:r>
        <w:rPr>
          <w:rStyle w:val="FootnoteReference"/>
          <w:sz w:val="20"/>
        </w:rPr>
        <w:tab/>
      </w:r>
      <w:r>
        <w:t xml:space="preserve">Adoptées par le Comité à sa </w:t>
      </w:r>
      <w:r>
        <w:rPr>
          <w:color w:val="FF0000"/>
        </w:rPr>
        <w:t xml:space="preserve">énième </w:t>
      </w:r>
      <w:r>
        <w:t>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484F44">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484F44" w:rsidP="005B6BC9">
    <w:pPr>
      <w:pStyle w:val="Header"/>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7F4021C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5F8A026"/>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D698276C"/>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 w:numId="20">
    <w:abstractNumId w:val="12"/>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30721"/>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46CEB"/>
    <w:rsid w:val="00065CBF"/>
    <w:rsid w:val="000714FD"/>
    <w:rsid w:val="0007796D"/>
    <w:rsid w:val="000860BB"/>
    <w:rsid w:val="000B7790"/>
    <w:rsid w:val="000C1293"/>
    <w:rsid w:val="000C2875"/>
    <w:rsid w:val="000C390E"/>
    <w:rsid w:val="000D0687"/>
    <w:rsid w:val="000D6818"/>
    <w:rsid w:val="001067B9"/>
    <w:rsid w:val="00111F2F"/>
    <w:rsid w:val="0014365E"/>
    <w:rsid w:val="001459C9"/>
    <w:rsid w:val="00150DB2"/>
    <w:rsid w:val="00176178"/>
    <w:rsid w:val="001D64AF"/>
    <w:rsid w:val="001E498C"/>
    <w:rsid w:val="001F525A"/>
    <w:rsid w:val="00214CB3"/>
    <w:rsid w:val="00223272"/>
    <w:rsid w:val="0024779E"/>
    <w:rsid w:val="00291F1D"/>
    <w:rsid w:val="002A0540"/>
    <w:rsid w:val="002C5D02"/>
    <w:rsid w:val="002D340A"/>
    <w:rsid w:val="00353ED5"/>
    <w:rsid w:val="0037014C"/>
    <w:rsid w:val="0039005B"/>
    <w:rsid w:val="003D1AD0"/>
    <w:rsid w:val="003F1369"/>
    <w:rsid w:val="004035DC"/>
    <w:rsid w:val="0041336D"/>
    <w:rsid w:val="00437041"/>
    <w:rsid w:val="00446FE5"/>
    <w:rsid w:val="00452396"/>
    <w:rsid w:val="00475149"/>
    <w:rsid w:val="00484F44"/>
    <w:rsid w:val="00494BBC"/>
    <w:rsid w:val="00543FE6"/>
    <w:rsid w:val="005505B7"/>
    <w:rsid w:val="00573BE5"/>
    <w:rsid w:val="00582D63"/>
    <w:rsid w:val="00586ED3"/>
    <w:rsid w:val="00596AA9"/>
    <w:rsid w:val="005A7F82"/>
    <w:rsid w:val="005B2412"/>
    <w:rsid w:val="005B6BC9"/>
    <w:rsid w:val="005E2B17"/>
    <w:rsid w:val="006056E0"/>
    <w:rsid w:val="00613A58"/>
    <w:rsid w:val="006910CE"/>
    <w:rsid w:val="006D44E0"/>
    <w:rsid w:val="006D72F5"/>
    <w:rsid w:val="00706E82"/>
    <w:rsid w:val="0071601D"/>
    <w:rsid w:val="00766CEC"/>
    <w:rsid w:val="007A62E6"/>
    <w:rsid w:val="00801E6B"/>
    <w:rsid w:val="0080684C"/>
    <w:rsid w:val="00815502"/>
    <w:rsid w:val="00824D57"/>
    <w:rsid w:val="00867D17"/>
    <w:rsid w:val="00871C75"/>
    <w:rsid w:val="008776DC"/>
    <w:rsid w:val="008A0E26"/>
    <w:rsid w:val="008C6C1B"/>
    <w:rsid w:val="008C7952"/>
    <w:rsid w:val="008F5D35"/>
    <w:rsid w:val="00957790"/>
    <w:rsid w:val="009705C8"/>
    <w:rsid w:val="00981901"/>
    <w:rsid w:val="009E06AD"/>
    <w:rsid w:val="009F65C5"/>
    <w:rsid w:val="00A41291"/>
    <w:rsid w:val="00AA69DF"/>
    <w:rsid w:val="00AC15E2"/>
    <w:rsid w:val="00AC3823"/>
    <w:rsid w:val="00AC7C7A"/>
    <w:rsid w:val="00AE2A62"/>
    <w:rsid w:val="00AE323C"/>
    <w:rsid w:val="00B00181"/>
    <w:rsid w:val="00B33DFE"/>
    <w:rsid w:val="00B43C66"/>
    <w:rsid w:val="00B65859"/>
    <w:rsid w:val="00B765F7"/>
    <w:rsid w:val="00B80BD3"/>
    <w:rsid w:val="00BA0CA9"/>
    <w:rsid w:val="00BC4CFE"/>
    <w:rsid w:val="00BE4745"/>
    <w:rsid w:val="00BF3C2C"/>
    <w:rsid w:val="00C02897"/>
    <w:rsid w:val="00C02B10"/>
    <w:rsid w:val="00C04DBC"/>
    <w:rsid w:val="00C454D2"/>
    <w:rsid w:val="00C54ED5"/>
    <w:rsid w:val="00C71AAB"/>
    <w:rsid w:val="00CA3912"/>
    <w:rsid w:val="00CC2887"/>
    <w:rsid w:val="00D00DEE"/>
    <w:rsid w:val="00D02F73"/>
    <w:rsid w:val="00D3439C"/>
    <w:rsid w:val="00D620D0"/>
    <w:rsid w:val="00D90480"/>
    <w:rsid w:val="00DA21C9"/>
    <w:rsid w:val="00DA22F4"/>
    <w:rsid w:val="00DA7434"/>
    <w:rsid w:val="00DB1831"/>
    <w:rsid w:val="00DD3BFD"/>
    <w:rsid w:val="00DF0775"/>
    <w:rsid w:val="00DF6678"/>
    <w:rsid w:val="00E018E1"/>
    <w:rsid w:val="00E0623C"/>
    <w:rsid w:val="00E22CF2"/>
    <w:rsid w:val="00E370C4"/>
    <w:rsid w:val="00E506F1"/>
    <w:rsid w:val="00E52D9F"/>
    <w:rsid w:val="00EA0791"/>
    <w:rsid w:val="00EA4D06"/>
    <w:rsid w:val="00EB265C"/>
    <w:rsid w:val="00EB3DE1"/>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D02"/>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2C5D02"/>
    <w:pPr>
      <w:keepNext/>
      <w:keepLines/>
      <w:spacing w:after="0" w:line="240" w:lineRule="auto"/>
      <w:ind w:right="0"/>
      <w:jc w:val="left"/>
      <w:outlineLvl w:val="0"/>
    </w:pPr>
  </w:style>
  <w:style w:type="paragraph" w:styleId="Heading2">
    <w:name w:val="heading 2"/>
    <w:basedOn w:val="Normal"/>
    <w:next w:val="Normal"/>
    <w:link w:val="Heading2Char"/>
    <w:semiHidden/>
    <w:qFormat/>
    <w:rsid w:val="002C5D02"/>
    <w:pPr>
      <w:outlineLvl w:val="1"/>
    </w:pPr>
  </w:style>
  <w:style w:type="paragraph" w:styleId="Heading3">
    <w:name w:val="heading 3"/>
    <w:basedOn w:val="Normal"/>
    <w:next w:val="Normal"/>
    <w:link w:val="Heading3Char"/>
    <w:semiHidden/>
    <w:qFormat/>
    <w:rsid w:val="002C5D02"/>
    <w:pPr>
      <w:outlineLvl w:val="2"/>
    </w:pPr>
  </w:style>
  <w:style w:type="paragraph" w:styleId="Heading4">
    <w:name w:val="heading 4"/>
    <w:basedOn w:val="Normal"/>
    <w:next w:val="Normal"/>
    <w:link w:val="Heading4Char"/>
    <w:semiHidden/>
    <w:qFormat/>
    <w:rsid w:val="002C5D02"/>
    <w:pPr>
      <w:outlineLvl w:val="3"/>
    </w:pPr>
  </w:style>
  <w:style w:type="paragraph" w:styleId="Heading5">
    <w:name w:val="heading 5"/>
    <w:basedOn w:val="Normal"/>
    <w:next w:val="Normal"/>
    <w:link w:val="Heading5Char"/>
    <w:semiHidden/>
    <w:qFormat/>
    <w:rsid w:val="002C5D02"/>
    <w:pPr>
      <w:outlineLvl w:val="4"/>
    </w:pPr>
  </w:style>
  <w:style w:type="paragraph" w:styleId="Heading6">
    <w:name w:val="heading 6"/>
    <w:basedOn w:val="Normal"/>
    <w:next w:val="Normal"/>
    <w:link w:val="Heading6Char"/>
    <w:semiHidden/>
    <w:qFormat/>
    <w:rsid w:val="002C5D02"/>
    <w:pPr>
      <w:outlineLvl w:val="5"/>
    </w:pPr>
  </w:style>
  <w:style w:type="paragraph" w:styleId="Heading7">
    <w:name w:val="heading 7"/>
    <w:basedOn w:val="Normal"/>
    <w:next w:val="Normal"/>
    <w:link w:val="Heading7Char"/>
    <w:semiHidden/>
    <w:qFormat/>
    <w:rsid w:val="002C5D02"/>
    <w:pPr>
      <w:outlineLvl w:val="6"/>
    </w:pPr>
  </w:style>
  <w:style w:type="paragraph" w:styleId="Heading8">
    <w:name w:val="heading 8"/>
    <w:basedOn w:val="Normal"/>
    <w:next w:val="Normal"/>
    <w:link w:val="Heading8Char"/>
    <w:semiHidden/>
    <w:qFormat/>
    <w:rsid w:val="002C5D02"/>
    <w:pPr>
      <w:outlineLvl w:val="7"/>
    </w:pPr>
  </w:style>
  <w:style w:type="paragraph" w:styleId="Heading9">
    <w:name w:val="heading 9"/>
    <w:basedOn w:val="Normal"/>
    <w:next w:val="Normal"/>
    <w:link w:val="Heading9Char"/>
    <w:semiHidden/>
    <w:qFormat/>
    <w:rsid w:val="002C5D0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2C5D02"/>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2C5D02"/>
    <w:rPr>
      <w:rFonts w:ascii="Times New Roman" w:hAnsi="Times New Roman" w:cs="Times New Roman"/>
      <w:b/>
      <w:sz w:val="18"/>
      <w:szCs w:val="20"/>
    </w:rPr>
  </w:style>
  <w:style w:type="paragraph" w:styleId="Footer">
    <w:name w:val="footer"/>
    <w:aliases w:val="3_G"/>
    <w:basedOn w:val="Normal"/>
    <w:next w:val="Normal"/>
    <w:link w:val="FooterChar"/>
    <w:qFormat/>
    <w:rsid w:val="002C5D02"/>
    <w:pPr>
      <w:spacing w:line="240" w:lineRule="auto"/>
    </w:pPr>
    <w:rPr>
      <w:sz w:val="16"/>
    </w:rPr>
  </w:style>
  <w:style w:type="character" w:customStyle="1" w:styleId="FooterChar">
    <w:name w:val="Footer Char"/>
    <w:aliases w:val="3_G Char"/>
    <w:basedOn w:val="DefaultParagraphFont"/>
    <w:link w:val="Footer"/>
    <w:rsid w:val="002C5D02"/>
    <w:rPr>
      <w:rFonts w:ascii="Times New Roman" w:hAnsi="Times New Roman" w:cs="Times New Roman"/>
      <w:sz w:val="16"/>
      <w:szCs w:val="20"/>
    </w:rPr>
  </w:style>
  <w:style w:type="paragraph" w:customStyle="1" w:styleId="HMG">
    <w:name w:val="_ H __M_G"/>
    <w:basedOn w:val="Normal"/>
    <w:next w:val="Normal"/>
    <w:qFormat/>
    <w:rsid w:val="002C5D02"/>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2C5D02"/>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2C5D02"/>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2C5D02"/>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2C5D02"/>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2C5D02"/>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2C5D02"/>
    <w:pPr>
      <w:spacing w:after="120"/>
      <w:ind w:left="1134" w:right="1134"/>
      <w:jc w:val="both"/>
    </w:pPr>
  </w:style>
  <w:style w:type="paragraph" w:customStyle="1" w:styleId="SLG">
    <w:name w:val="__S_L_G"/>
    <w:basedOn w:val="Normal"/>
    <w:next w:val="Normal"/>
    <w:rsid w:val="002C5D02"/>
    <w:pPr>
      <w:keepNext/>
      <w:keepLines/>
      <w:spacing w:before="240" w:after="240" w:line="580" w:lineRule="exact"/>
      <w:ind w:left="1134" w:right="1134"/>
    </w:pPr>
    <w:rPr>
      <w:b/>
      <w:sz w:val="56"/>
    </w:rPr>
  </w:style>
  <w:style w:type="paragraph" w:customStyle="1" w:styleId="SMG">
    <w:name w:val="__S_M_G"/>
    <w:basedOn w:val="Normal"/>
    <w:next w:val="Normal"/>
    <w:rsid w:val="002C5D02"/>
    <w:pPr>
      <w:keepNext/>
      <w:keepLines/>
      <w:spacing w:before="240" w:after="240" w:line="420" w:lineRule="exact"/>
      <w:ind w:left="1134" w:right="1134"/>
    </w:pPr>
    <w:rPr>
      <w:b/>
      <w:sz w:val="40"/>
    </w:rPr>
  </w:style>
  <w:style w:type="paragraph" w:customStyle="1" w:styleId="SSG">
    <w:name w:val="__S_S_G"/>
    <w:basedOn w:val="Normal"/>
    <w:next w:val="Normal"/>
    <w:rsid w:val="002C5D02"/>
    <w:pPr>
      <w:keepNext/>
      <w:keepLines/>
      <w:spacing w:before="240" w:after="240" w:line="300" w:lineRule="exact"/>
      <w:ind w:left="1134" w:right="1134"/>
    </w:pPr>
    <w:rPr>
      <w:b/>
      <w:sz w:val="28"/>
    </w:rPr>
  </w:style>
  <w:style w:type="paragraph" w:customStyle="1" w:styleId="XLargeG">
    <w:name w:val="__XLarge_G"/>
    <w:basedOn w:val="Normal"/>
    <w:next w:val="Normal"/>
    <w:rsid w:val="002C5D02"/>
    <w:pPr>
      <w:keepNext/>
      <w:keepLines/>
      <w:spacing w:before="240" w:after="240" w:line="420" w:lineRule="exact"/>
      <w:ind w:left="1134" w:right="1134"/>
    </w:pPr>
    <w:rPr>
      <w:b/>
      <w:sz w:val="40"/>
    </w:rPr>
  </w:style>
  <w:style w:type="paragraph" w:customStyle="1" w:styleId="Bullet1G">
    <w:name w:val="_Bullet 1_G"/>
    <w:basedOn w:val="Normal"/>
    <w:qFormat/>
    <w:rsid w:val="002C5D02"/>
    <w:pPr>
      <w:numPr>
        <w:numId w:val="20"/>
      </w:numPr>
      <w:spacing w:after="120"/>
      <w:ind w:right="1134"/>
      <w:jc w:val="both"/>
    </w:pPr>
  </w:style>
  <w:style w:type="paragraph" w:customStyle="1" w:styleId="Bullet2G">
    <w:name w:val="_Bullet 2_G"/>
    <w:basedOn w:val="Normal"/>
    <w:qFormat/>
    <w:rsid w:val="002C5D02"/>
    <w:pPr>
      <w:numPr>
        <w:numId w:val="21"/>
      </w:numPr>
      <w:spacing w:after="120"/>
      <w:ind w:right="1134"/>
      <w:jc w:val="both"/>
    </w:pPr>
  </w:style>
  <w:style w:type="paragraph" w:customStyle="1" w:styleId="ParNoG">
    <w:name w:val="_ParNo_G"/>
    <w:basedOn w:val="Normal"/>
    <w:qFormat/>
    <w:rsid w:val="002C5D02"/>
    <w:pPr>
      <w:numPr>
        <w:numId w:val="22"/>
      </w:numPr>
      <w:tabs>
        <w:tab w:val="clear" w:pos="1701"/>
      </w:tabs>
      <w:spacing w:after="120"/>
      <w:ind w:right="1134"/>
      <w:jc w:val="both"/>
    </w:pPr>
  </w:style>
  <w:style w:type="character" w:styleId="FootnoteReference">
    <w:name w:val="footnote reference"/>
    <w:aliases w:val="4_G"/>
    <w:basedOn w:val="DefaultParagraphFont"/>
    <w:qFormat/>
    <w:rsid w:val="002C5D02"/>
    <w:rPr>
      <w:rFonts w:ascii="Times New Roman" w:hAnsi="Times New Roman"/>
      <w:sz w:val="18"/>
      <w:vertAlign w:val="superscript"/>
      <w:lang w:val="fr-CH"/>
    </w:rPr>
  </w:style>
  <w:style w:type="character" w:styleId="EndnoteReference">
    <w:name w:val="endnote reference"/>
    <w:aliases w:val="1_G"/>
    <w:basedOn w:val="FootnoteReference"/>
    <w:qFormat/>
    <w:rsid w:val="002C5D02"/>
    <w:rPr>
      <w:rFonts w:ascii="Times New Roman" w:hAnsi="Times New Roman"/>
      <w:sz w:val="18"/>
      <w:vertAlign w:val="superscript"/>
      <w:lang w:val="fr-CH"/>
    </w:rPr>
  </w:style>
  <w:style w:type="table" w:styleId="TableGrid">
    <w:name w:val="Table Grid"/>
    <w:basedOn w:val="TableNormal"/>
    <w:rsid w:val="002C5D02"/>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2C5D02"/>
    <w:rPr>
      <w:color w:val="0000FF"/>
      <w:u w:val="none"/>
    </w:rPr>
  </w:style>
  <w:style w:type="character" w:styleId="FollowedHyperlink">
    <w:name w:val="FollowedHyperlink"/>
    <w:basedOn w:val="DefaultParagraphFont"/>
    <w:unhideWhenUsed/>
    <w:rsid w:val="002C5D02"/>
    <w:rPr>
      <w:color w:val="0000FF"/>
      <w:u w:val="none"/>
    </w:rPr>
  </w:style>
  <w:style w:type="paragraph" w:styleId="FootnoteText">
    <w:name w:val="footnote text"/>
    <w:aliases w:val="5_G"/>
    <w:basedOn w:val="Normal"/>
    <w:link w:val="FootnoteTextChar"/>
    <w:qFormat/>
    <w:rsid w:val="002C5D02"/>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rsid w:val="002C5D02"/>
    <w:rPr>
      <w:rFonts w:ascii="Times New Roman" w:hAnsi="Times New Roman" w:cs="Times New Roman"/>
      <w:sz w:val="18"/>
      <w:szCs w:val="20"/>
    </w:rPr>
  </w:style>
  <w:style w:type="paragraph" w:styleId="EndnoteText">
    <w:name w:val="endnote text"/>
    <w:aliases w:val="2_G"/>
    <w:basedOn w:val="FootnoteText"/>
    <w:link w:val="EndnoteTextChar"/>
    <w:qFormat/>
    <w:rsid w:val="002C5D02"/>
  </w:style>
  <w:style w:type="character" w:customStyle="1" w:styleId="EndnoteTextChar">
    <w:name w:val="Endnote Text Char"/>
    <w:aliases w:val="2_G Char"/>
    <w:basedOn w:val="DefaultParagraphFont"/>
    <w:link w:val="EndnoteText"/>
    <w:rsid w:val="002C5D02"/>
    <w:rPr>
      <w:rFonts w:ascii="Times New Roman" w:hAnsi="Times New Roman" w:cs="Times New Roman"/>
      <w:sz w:val="18"/>
      <w:szCs w:val="20"/>
    </w:rPr>
  </w:style>
  <w:style w:type="character" w:styleId="PageNumber">
    <w:name w:val="page number"/>
    <w:aliases w:val="7_G"/>
    <w:basedOn w:val="DefaultParagraphFont"/>
    <w:qFormat/>
    <w:rsid w:val="002C5D02"/>
    <w:rPr>
      <w:rFonts w:ascii="Times New Roman" w:hAnsi="Times New Roman"/>
      <w:b/>
      <w:sz w:val="18"/>
      <w:lang w:val="fr-CH"/>
    </w:rPr>
  </w:style>
  <w:style w:type="character" w:customStyle="1" w:styleId="Heading1Char">
    <w:name w:val="Heading 1 Char"/>
    <w:aliases w:val="Table_G Char"/>
    <w:basedOn w:val="DefaultParagraphFont"/>
    <w:link w:val="Heading1"/>
    <w:rsid w:val="002C5D02"/>
    <w:rPr>
      <w:rFonts w:ascii="Times New Roman" w:hAnsi="Times New Roman" w:cs="Times New Roman"/>
      <w:sz w:val="20"/>
      <w:szCs w:val="20"/>
    </w:rPr>
  </w:style>
  <w:style w:type="character" w:customStyle="1" w:styleId="Heading2Char">
    <w:name w:val="Heading 2 Char"/>
    <w:basedOn w:val="DefaultParagraphFont"/>
    <w:link w:val="Heading2"/>
    <w:semiHidden/>
    <w:rsid w:val="002C5D02"/>
    <w:rPr>
      <w:rFonts w:ascii="Times New Roman" w:hAnsi="Times New Roman" w:cs="Times New Roman"/>
      <w:sz w:val="20"/>
      <w:szCs w:val="20"/>
    </w:rPr>
  </w:style>
  <w:style w:type="character" w:customStyle="1" w:styleId="Heading3Char">
    <w:name w:val="Heading 3 Char"/>
    <w:basedOn w:val="DefaultParagraphFont"/>
    <w:link w:val="Heading3"/>
    <w:semiHidden/>
    <w:rsid w:val="002C5D02"/>
    <w:rPr>
      <w:rFonts w:ascii="Times New Roman" w:hAnsi="Times New Roman" w:cs="Times New Roman"/>
      <w:sz w:val="20"/>
      <w:szCs w:val="20"/>
    </w:rPr>
  </w:style>
  <w:style w:type="character" w:customStyle="1" w:styleId="Heading4Char">
    <w:name w:val="Heading 4 Char"/>
    <w:basedOn w:val="DefaultParagraphFont"/>
    <w:link w:val="Heading4"/>
    <w:semiHidden/>
    <w:rsid w:val="002C5D02"/>
    <w:rPr>
      <w:rFonts w:ascii="Times New Roman" w:hAnsi="Times New Roman" w:cs="Times New Roman"/>
      <w:sz w:val="20"/>
      <w:szCs w:val="20"/>
    </w:rPr>
  </w:style>
  <w:style w:type="character" w:customStyle="1" w:styleId="Heading5Char">
    <w:name w:val="Heading 5 Char"/>
    <w:basedOn w:val="DefaultParagraphFont"/>
    <w:link w:val="Heading5"/>
    <w:semiHidden/>
    <w:rsid w:val="002C5D02"/>
    <w:rPr>
      <w:rFonts w:ascii="Times New Roman" w:hAnsi="Times New Roman" w:cs="Times New Roman"/>
      <w:sz w:val="20"/>
      <w:szCs w:val="20"/>
    </w:rPr>
  </w:style>
  <w:style w:type="character" w:customStyle="1" w:styleId="Heading6Char">
    <w:name w:val="Heading 6 Char"/>
    <w:basedOn w:val="DefaultParagraphFont"/>
    <w:link w:val="Heading6"/>
    <w:semiHidden/>
    <w:rsid w:val="002C5D02"/>
    <w:rPr>
      <w:rFonts w:ascii="Times New Roman" w:hAnsi="Times New Roman" w:cs="Times New Roman"/>
      <w:sz w:val="20"/>
      <w:szCs w:val="20"/>
    </w:rPr>
  </w:style>
  <w:style w:type="character" w:customStyle="1" w:styleId="Heading7Char">
    <w:name w:val="Heading 7 Char"/>
    <w:basedOn w:val="DefaultParagraphFont"/>
    <w:link w:val="Heading7"/>
    <w:semiHidden/>
    <w:rsid w:val="002C5D02"/>
    <w:rPr>
      <w:rFonts w:ascii="Times New Roman" w:hAnsi="Times New Roman" w:cs="Times New Roman"/>
      <w:sz w:val="20"/>
      <w:szCs w:val="20"/>
    </w:rPr>
  </w:style>
  <w:style w:type="character" w:customStyle="1" w:styleId="Heading8Char">
    <w:name w:val="Heading 8 Char"/>
    <w:basedOn w:val="DefaultParagraphFont"/>
    <w:link w:val="Heading8"/>
    <w:semiHidden/>
    <w:rsid w:val="002C5D02"/>
    <w:rPr>
      <w:rFonts w:ascii="Times New Roman" w:hAnsi="Times New Roman" w:cs="Times New Roman"/>
      <w:sz w:val="20"/>
      <w:szCs w:val="20"/>
    </w:rPr>
  </w:style>
  <w:style w:type="character" w:customStyle="1" w:styleId="Heading9Char">
    <w:name w:val="Heading 9 Char"/>
    <w:basedOn w:val="DefaultParagraphFont"/>
    <w:link w:val="Heading9"/>
    <w:semiHidden/>
    <w:rsid w:val="002C5D02"/>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2567">
      <w:bodyDiv w:val="1"/>
      <w:marLeft w:val="0"/>
      <w:marRight w:val="0"/>
      <w:marTop w:val="0"/>
      <w:marBottom w:val="0"/>
      <w:divBdr>
        <w:top w:val="none" w:sz="0" w:space="0" w:color="auto"/>
        <w:left w:val="none" w:sz="0" w:space="0" w:color="auto"/>
        <w:bottom w:val="none" w:sz="0" w:space="0" w:color="auto"/>
        <w:right w:val="none" w:sz="0" w:space="0" w:color="auto"/>
      </w:divBdr>
    </w:div>
    <w:div w:id="184774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1109</Words>
  <Characters>6102</Characters>
  <Application>Microsoft Office Word</Application>
  <DocSecurity>0</DocSecurity>
  <Lines>50</Lines>
  <Paragraphs>14</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6</cp:revision>
  <cp:lastPrinted>2017-02-27T14:31:00Z</cp:lastPrinted>
  <dcterms:created xsi:type="dcterms:W3CDTF">2018-03-23T09:16:00Z</dcterms:created>
  <dcterms:modified xsi:type="dcterms:W3CDTF">2018-06-05T12:20:00Z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