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CRPD</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Convention on the Rights</w:t>
            </w:r>
            <w:r>
              <w:rPr>
                <w:b/>
                <w:sz w:val="34"/>
                <w:szCs w:val="40"/>
              </w:rPr>
              <w:br/>
              <w:t>of Persons with Disabilities</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Rights of Persons with Disabilities</w:t>
      </w:r>
    </w:p>
    <w:p>
      <w:pPr>
        <w:pStyle w:val="HChG"/>
      </w:pPr>
      <w:r>
        <w:tab/>
      </w:r>
      <w:r>
        <w:tab/>
        <w:t xml:space="preserve">Concluding observations on the </w:t>
      </w:r>
      <w:fldSimple w:instr=" DOCPROPERTY  prep  \* MERGEFORMAT ">
        <w:r>
          <w:t>prep</w:t>
        </w:r>
      </w:fldSimple>
      <w:r>
        <w:rPr>
          <w:b w:val="0"/>
          <w:bCs/>
          <w:sz w:val="20"/>
        </w:rPr>
        <w:footnoteReference w:customMarkFollows="1" w:id="2"/>
        <w:t>*</w:t>
      </w:r>
    </w:p>
    <w:p>
      <w:pPr>
        <w:pStyle w:val="HChG"/>
      </w:pPr>
      <w:r>
        <w:tab/>
        <w:t>I.</w:t>
      </w:r>
      <w:r>
        <w:tab/>
        <w:t>Introduction</w:t>
      </w:r>
    </w:p>
    <w:p>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(CRPD/C/</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CRPD/C/SR.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It adopted the present concluding observations at its </w:t>
      </w:r>
      <w:r>
        <w:rPr>
          <w:color w:val="FF0000"/>
        </w:rPr>
        <w:t>number</w:t>
      </w:r>
      <w:r>
        <w:t xml:space="preserve"> meeting, held on </w:t>
      </w:r>
      <w:r>
        <w:rPr>
          <w:color w:val="FF0000"/>
        </w:rPr>
        <w:t>date</w:t>
      </w:r>
      <w:r>
        <w:t>.</w:t>
      </w:r>
    </w:p>
    <w:p>
      <w:pPr>
        <w:pStyle w:val="SingleTxtG"/>
      </w:pPr>
      <w:r>
        <w:t>2.</w:t>
      </w:r>
      <w:r>
        <w:tab/>
        <w:t xml:space="preserve">The Committee welcomes the </w:t>
      </w:r>
      <w:r>
        <w:rPr>
          <w:color w:val="FF0000"/>
        </w:rPr>
        <w:t>[initial] [combined number periodic] [number periodic]</w:t>
      </w:r>
      <w:r>
        <w:t xml:space="preserve"> report</w:t>
      </w:r>
      <w:r>
        <w:rPr>
          <w:color w:val="FF0000"/>
        </w:rPr>
        <w:t>s</w:t>
      </w:r>
      <w:r>
        <w:t xml:space="preserve"> of </w:t>
      </w:r>
      <w:r>
        <w:rPr>
          <w:color w:val="FF0000"/>
        </w:rPr>
        <w:t>country</w:t>
      </w:r>
      <w:r>
        <w:t xml:space="preserve">, which </w:t>
      </w:r>
      <w:r>
        <w:rPr>
          <w:color w:val="FF0000"/>
        </w:rPr>
        <w:t xml:space="preserve">[was] [were] </w:t>
      </w:r>
      <w:r>
        <w:t>prepared in accordance with the Committee’s reporting guidelines, and thanks the State party for its written replies (CRPD/C/</w:t>
      </w:r>
      <w:r>
        <w:rPr>
          <w:color w:val="FF0000"/>
        </w:rPr>
        <w:t>XXX</w:t>
      </w:r>
      <w:r>
        <w:t>/Q/</w:t>
      </w:r>
      <w:r>
        <w:rPr>
          <w:color w:val="FF0000"/>
        </w:rPr>
        <w:t>Y</w:t>
      </w:r>
      <w:r>
        <w:t>/Add.1) to the list of issues prepared by the Committee (CRPD/C/</w:t>
      </w:r>
      <w:r>
        <w:rPr>
          <w:color w:val="FF0000"/>
        </w:rPr>
        <w:t>XXX</w:t>
      </w:r>
      <w:r>
        <w:t>/Q/</w:t>
      </w:r>
      <w:r>
        <w:rPr>
          <w:color w:val="FF0000"/>
        </w:rPr>
        <w:t>Y</w:t>
      </w:r>
      <w:r>
        <w:t xml:space="preserve">). </w:t>
      </w:r>
      <w:r>
        <w:rPr>
          <w:b/>
          <w:bCs/>
          <w:highlight w:val="yellow"/>
        </w:rPr>
        <w:t>[[Wording may vary.]]</w:t>
      </w:r>
    </w:p>
    <w:p>
      <w:pPr>
        <w:pStyle w:val="HChG"/>
      </w:pPr>
      <w:r>
        <w:tab/>
        <w:t>II.</w:t>
      </w:r>
      <w:r>
        <w:tab/>
        <w:t>Positive aspects</w:t>
      </w:r>
    </w:p>
    <w:p>
      <w:pPr>
        <w:pStyle w:val="HChG"/>
        <w:keepNext w:val="0"/>
        <w:keepLines w:val="0"/>
      </w:pPr>
      <w:r>
        <w:tab/>
        <w:t>III.</w:t>
      </w:r>
      <w:r>
        <w:tab/>
        <w:t>Principal areas of concern and recommendations</w:t>
      </w:r>
    </w:p>
    <w:p>
      <w:pPr>
        <w:pStyle w:val="H1G"/>
        <w:keepNext w:val="0"/>
        <w:keepLines w:val="0"/>
      </w:pPr>
      <w:r>
        <w:tab/>
        <w:t>A.</w:t>
      </w:r>
      <w:r>
        <w:tab/>
        <w:t xml:space="preserve">General principles and obligations (arts. 1-4) </w:t>
      </w:r>
    </w:p>
    <w:p>
      <w:pPr>
        <w:pStyle w:val="H1G"/>
        <w:keepNext w:val="0"/>
        <w:keepLines w:val="0"/>
      </w:pPr>
      <w:r>
        <w:tab/>
        <w:t>B.</w:t>
      </w:r>
      <w:r>
        <w:tab/>
        <w:t>Specific rights (arts. 5-30)</w:t>
      </w:r>
    </w:p>
    <w:p>
      <w:pPr>
        <w:pStyle w:val="H23G"/>
        <w:keepNext w:val="0"/>
        <w:keepLines w:val="0"/>
      </w:pPr>
      <w:r>
        <w:tab/>
      </w:r>
      <w:r>
        <w:tab/>
        <w:t xml:space="preserve">Equality and non-discrimination (art. 5) </w:t>
      </w:r>
      <w:r>
        <w:rPr>
          <w:highlight w:val="yellow"/>
        </w:rPr>
        <w:t>[[Not all H2 (10-point bold) subheadings are included in all concluding observations.]]</w:t>
      </w:r>
    </w:p>
    <w:p>
      <w:pPr>
        <w:pStyle w:val="H23G"/>
        <w:keepNext w:val="0"/>
        <w:keepLines w:val="0"/>
      </w:pPr>
      <w:r>
        <w:tab/>
      </w:r>
      <w:r>
        <w:tab/>
        <w:t>Women with disabilities (art. 6)</w:t>
      </w:r>
    </w:p>
    <w:p>
      <w:pPr>
        <w:pStyle w:val="H23G"/>
        <w:keepNext w:val="0"/>
        <w:keepLines w:val="0"/>
      </w:pPr>
      <w:r>
        <w:tab/>
      </w:r>
      <w:r>
        <w:tab/>
        <w:t xml:space="preserve">Children with disabilities (art. 7) </w:t>
      </w:r>
    </w:p>
    <w:p>
      <w:pPr>
        <w:pStyle w:val="H23G"/>
        <w:keepNext w:val="0"/>
        <w:keepLines w:val="0"/>
      </w:pPr>
      <w:r>
        <w:tab/>
      </w:r>
      <w:r>
        <w:tab/>
        <w:t>Awareness-raising (art. 8)</w:t>
      </w:r>
    </w:p>
    <w:p>
      <w:pPr>
        <w:pStyle w:val="H23G"/>
        <w:keepNext w:val="0"/>
        <w:keepLines w:val="0"/>
      </w:pPr>
      <w:r>
        <w:tab/>
      </w:r>
      <w:r>
        <w:tab/>
        <w:t>Accessibility (art. 9)</w:t>
      </w:r>
    </w:p>
    <w:p>
      <w:pPr>
        <w:pStyle w:val="H23G"/>
        <w:keepNext w:val="0"/>
        <w:keepLines w:val="0"/>
      </w:pPr>
      <w:r>
        <w:tab/>
      </w:r>
      <w:r>
        <w:tab/>
        <w:t>Right to life (art. 10)</w:t>
      </w:r>
    </w:p>
    <w:p>
      <w:pPr>
        <w:pStyle w:val="H23G"/>
        <w:keepNext w:val="0"/>
        <w:keepLines w:val="0"/>
      </w:pPr>
      <w:r>
        <w:tab/>
      </w:r>
      <w:r>
        <w:tab/>
        <w:t>Situations of risk and humanitarian emergencies (art. 11)</w:t>
      </w:r>
    </w:p>
    <w:p>
      <w:pPr>
        <w:pStyle w:val="H23G"/>
        <w:keepNext w:val="0"/>
        <w:keepLines w:val="0"/>
      </w:pPr>
      <w:r>
        <w:lastRenderedPageBreak/>
        <w:tab/>
      </w:r>
      <w:r>
        <w:tab/>
        <w:t>Equal recognition before the law (art. 12)</w:t>
      </w:r>
    </w:p>
    <w:p>
      <w:pPr>
        <w:pStyle w:val="H23G"/>
        <w:keepNext w:val="0"/>
        <w:keepLines w:val="0"/>
      </w:pPr>
      <w:r>
        <w:tab/>
      </w:r>
      <w:r>
        <w:tab/>
        <w:t xml:space="preserve">Access to justice (art. 13) </w:t>
      </w:r>
    </w:p>
    <w:p>
      <w:pPr>
        <w:pStyle w:val="H23G"/>
        <w:keepNext w:val="0"/>
        <w:keepLines w:val="0"/>
      </w:pPr>
      <w:r>
        <w:tab/>
      </w:r>
      <w:r>
        <w:tab/>
        <w:t>Liberty and security of the person (art. 14)</w:t>
      </w:r>
    </w:p>
    <w:p>
      <w:pPr>
        <w:pStyle w:val="H23G"/>
        <w:keepNext w:val="0"/>
        <w:keepLines w:val="0"/>
      </w:pPr>
      <w:r>
        <w:tab/>
      </w:r>
      <w:r>
        <w:tab/>
        <w:t>Freedom from torture and cruel, inhuman or degrading treatment or punishment (art. 15)</w:t>
      </w:r>
    </w:p>
    <w:p>
      <w:pPr>
        <w:pStyle w:val="H23G"/>
        <w:keepNext w:val="0"/>
        <w:keepLines w:val="0"/>
      </w:pPr>
      <w:r>
        <w:tab/>
      </w:r>
      <w:r>
        <w:tab/>
        <w:t>Freedom from exploitation, violence and abuse (art. 16)</w:t>
      </w:r>
    </w:p>
    <w:p>
      <w:pPr>
        <w:pStyle w:val="H23G"/>
        <w:keepNext w:val="0"/>
        <w:keepLines w:val="0"/>
      </w:pPr>
      <w:r>
        <w:tab/>
      </w:r>
      <w:r>
        <w:tab/>
        <w:t>Protecting the integrity of the person (art. 17)</w:t>
      </w:r>
    </w:p>
    <w:p>
      <w:pPr>
        <w:pStyle w:val="H23G"/>
        <w:keepNext w:val="0"/>
        <w:keepLines w:val="0"/>
      </w:pPr>
      <w:r>
        <w:tab/>
      </w:r>
      <w:r>
        <w:tab/>
        <w:t>Liberty of movement and nationality (art. 18)</w:t>
      </w:r>
    </w:p>
    <w:p>
      <w:pPr>
        <w:pStyle w:val="H23G"/>
        <w:keepNext w:val="0"/>
        <w:keepLines w:val="0"/>
      </w:pPr>
      <w:r>
        <w:tab/>
      </w:r>
      <w:r>
        <w:tab/>
        <w:t>Living independently and being included in the community (art. 19)</w:t>
      </w:r>
    </w:p>
    <w:p>
      <w:pPr>
        <w:pStyle w:val="H23G"/>
        <w:keepNext w:val="0"/>
        <w:keepLines w:val="0"/>
      </w:pPr>
      <w:r>
        <w:tab/>
      </w:r>
      <w:r>
        <w:tab/>
        <w:t>Personal mobility (art. 20)</w:t>
      </w:r>
    </w:p>
    <w:p>
      <w:pPr>
        <w:pStyle w:val="H23G"/>
        <w:keepNext w:val="0"/>
        <w:keepLines w:val="0"/>
      </w:pPr>
      <w:r>
        <w:tab/>
      </w:r>
      <w:r>
        <w:tab/>
        <w:t xml:space="preserve">Freedom of expression and opinion, and access to information (art. 21) </w:t>
      </w:r>
    </w:p>
    <w:p>
      <w:pPr>
        <w:pStyle w:val="H23G"/>
        <w:keepNext w:val="0"/>
        <w:keepLines w:val="0"/>
      </w:pPr>
      <w:r>
        <w:tab/>
      </w:r>
      <w:r>
        <w:tab/>
        <w:t>Respect for privacy (art. 22)</w:t>
      </w:r>
    </w:p>
    <w:p>
      <w:pPr>
        <w:pStyle w:val="H23G"/>
        <w:keepNext w:val="0"/>
        <w:keepLines w:val="0"/>
      </w:pPr>
      <w:r>
        <w:tab/>
      </w:r>
      <w:r>
        <w:tab/>
        <w:t>Respect for home and the family (art. 23)</w:t>
      </w:r>
    </w:p>
    <w:p>
      <w:pPr>
        <w:pStyle w:val="H23G"/>
        <w:keepNext w:val="0"/>
        <w:keepLines w:val="0"/>
      </w:pPr>
      <w:r>
        <w:tab/>
      </w:r>
      <w:r>
        <w:tab/>
        <w:t>Education (art. 24)</w:t>
      </w:r>
    </w:p>
    <w:p>
      <w:pPr>
        <w:pStyle w:val="H23G"/>
        <w:keepNext w:val="0"/>
        <w:keepLines w:val="0"/>
      </w:pPr>
      <w:r>
        <w:tab/>
      </w:r>
      <w:r>
        <w:tab/>
        <w:t>Health (art. 25)</w:t>
      </w:r>
    </w:p>
    <w:p>
      <w:pPr>
        <w:pStyle w:val="H23G"/>
        <w:keepNext w:val="0"/>
        <w:keepLines w:val="0"/>
      </w:pPr>
      <w:r>
        <w:tab/>
      </w:r>
      <w:r>
        <w:tab/>
        <w:t>Habilitation and rehabilitation (art. 26)</w:t>
      </w:r>
    </w:p>
    <w:p>
      <w:pPr>
        <w:pStyle w:val="H23G"/>
        <w:keepNext w:val="0"/>
        <w:keepLines w:val="0"/>
      </w:pPr>
      <w:r>
        <w:tab/>
      </w:r>
      <w:r>
        <w:tab/>
        <w:t xml:space="preserve">Work and employment (art. 27) </w:t>
      </w:r>
    </w:p>
    <w:p>
      <w:pPr>
        <w:pStyle w:val="H23G"/>
        <w:keepNext w:val="0"/>
        <w:keepLines w:val="0"/>
      </w:pPr>
      <w:r>
        <w:tab/>
      </w:r>
      <w:r>
        <w:tab/>
        <w:t>Adequate standard of living and social protection (art. 28)</w:t>
      </w:r>
    </w:p>
    <w:p>
      <w:pPr>
        <w:pStyle w:val="H23G"/>
        <w:keepNext w:val="0"/>
        <w:keepLines w:val="0"/>
      </w:pPr>
      <w:r>
        <w:tab/>
      </w:r>
      <w:r>
        <w:tab/>
        <w:t>Participation in political and public life (art. 29)</w:t>
      </w:r>
    </w:p>
    <w:p>
      <w:pPr>
        <w:pStyle w:val="H23G"/>
        <w:keepNext w:val="0"/>
        <w:keepLines w:val="0"/>
      </w:pPr>
      <w:r>
        <w:tab/>
      </w:r>
      <w:r>
        <w:tab/>
        <w:t>Participation in cultural life, recreation, leisure and sport (art. 30)</w:t>
      </w:r>
    </w:p>
    <w:p>
      <w:pPr>
        <w:pStyle w:val="H1G"/>
        <w:keepNext w:val="0"/>
        <w:keepLines w:val="0"/>
      </w:pPr>
      <w:r>
        <w:tab/>
        <w:t>C.</w:t>
      </w:r>
      <w:r>
        <w:tab/>
        <w:t>Specific obligations (arts. 31-33)</w:t>
      </w:r>
    </w:p>
    <w:p>
      <w:pPr>
        <w:pStyle w:val="H23G"/>
        <w:keepNext w:val="0"/>
        <w:keepLines w:val="0"/>
      </w:pPr>
      <w:r>
        <w:tab/>
      </w:r>
      <w:r>
        <w:tab/>
        <w:t>Statistics and data collection (art. 31)</w:t>
      </w:r>
    </w:p>
    <w:p>
      <w:pPr>
        <w:pStyle w:val="H23G"/>
        <w:keepNext w:val="0"/>
        <w:keepLines w:val="0"/>
      </w:pPr>
      <w:r>
        <w:tab/>
      </w:r>
      <w:r>
        <w:tab/>
        <w:t>International cooperation (art. 32)</w:t>
      </w:r>
    </w:p>
    <w:p>
      <w:pPr>
        <w:pStyle w:val="H23G"/>
        <w:keepNext w:val="0"/>
        <w:keepLines w:val="0"/>
      </w:pPr>
      <w:r>
        <w:tab/>
      </w:r>
      <w:r>
        <w:tab/>
        <w:t>National implementation and monitoring (art. 33)</w:t>
      </w:r>
    </w:p>
    <w:p>
      <w:pPr>
        <w:pStyle w:val="HChG"/>
      </w:pPr>
      <w:r>
        <w:tab/>
        <w:t>IV.</w:t>
      </w:r>
      <w:r>
        <w:tab/>
        <w:t xml:space="preserve">Follow-up </w:t>
      </w:r>
    </w:p>
    <w:p>
      <w:pPr>
        <w:pStyle w:val="H23G"/>
      </w:pPr>
      <w:r>
        <w:tab/>
      </w:r>
      <w:r>
        <w:tab/>
        <w:t>Dissemination of information</w:t>
      </w:r>
    </w:p>
    <w:p>
      <w:pPr>
        <w:pStyle w:val="SingleTxtG"/>
        <w:rPr>
          <w:b/>
          <w:bCs/>
        </w:rPr>
      </w:pPr>
      <w:r>
        <w:t>63.</w:t>
      </w:r>
      <w:r>
        <w:tab/>
      </w:r>
      <w:r>
        <w:rPr>
          <w:b/>
          <w:bCs/>
        </w:rPr>
        <w:t xml:space="preserve">The Committee requests that the State party provide information, within 12 months of the adoption of the present concluding observations and in accordance with article 35 (2) of the Convention, on the measures taken to implement the Committee’s recommendations contained in paragraphs </w:t>
      </w:r>
      <w:r>
        <w:rPr>
          <w:b/>
          <w:bCs/>
          <w:color w:val="FF0000"/>
        </w:rPr>
        <w:t>XX</w:t>
      </w:r>
      <w:r>
        <w:rPr>
          <w:b/>
          <w:bCs/>
        </w:rPr>
        <w:t xml:space="preserve"> (</w:t>
      </w:r>
      <w:r>
        <w:rPr>
          <w:b/>
          <w:bCs/>
          <w:color w:val="FF0000"/>
        </w:rPr>
        <w:t>subject of recommendation</w:t>
      </w:r>
      <w:r>
        <w:rPr>
          <w:b/>
          <w:bCs/>
        </w:rPr>
        <w:t xml:space="preserve">) and </w:t>
      </w:r>
      <w:r>
        <w:rPr>
          <w:b/>
          <w:bCs/>
          <w:color w:val="FF0000"/>
        </w:rPr>
        <w:t>XX</w:t>
      </w:r>
      <w:r>
        <w:rPr>
          <w:b/>
          <w:bCs/>
        </w:rPr>
        <w:t xml:space="preserve"> (</w:t>
      </w:r>
      <w:r>
        <w:rPr>
          <w:b/>
          <w:bCs/>
          <w:color w:val="FF0000"/>
        </w:rPr>
        <w:t>subject of recommendation</w:t>
      </w:r>
      <w:r>
        <w:rPr>
          <w:b/>
          <w:bCs/>
        </w:rPr>
        <w:t>).</w:t>
      </w:r>
    </w:p>
    <w:p>
      <w:pPr>
        <w:pStyle w:val="SingleTxtG"/>
        <w:rPr>
          <w:b/>
          <w:bCs/>
        </w:rPr>
      </w:pPr>
      <w:r>
        <w:t>64.</w:t>
      </w:r>
      <w:r>
        <w:tab/>
      </w:r>
      <w:r>
        <w:rPr>
          <w:b/>
          <w:bCs/>
        </w:rPr>
        <w:t xml:space="preserve">The Committee requests the State party to implement the recommendations contained in the present concluding observations. It recommends that the State party </w:t>
      </w:r>
      <w:r>
        <w:rPr>
          <w:b/>
          <w:bCs/>
        </w:rPr>
        <w:lastRenderedPageBreak/>
        <w:t xml:space="preserve">transmit the concluding observations for consideration and action to members of the Government and parliament, officials in relevant ministries, the judiciary and members of relevant professional groups, such as education, medical and legal professionals, as well as to local authorities, the private sector and the media, using modern social communication strategies. </w:t>
      </w:r>
      <w:r>
        <w:rPr>
          <w:b/>
          <w:bCs/>
          <w:highlight w:val="yellow"/>
        </w:rPr>
        <w:t>[[Wording may vary.]]</w:t>
      </w:r>
    </w:p>
    <w:p>
      <w:pPr>
        <w:pStyle w:val="SingleTxtG"/>
        <w:rPr>
          <w:b/>
          <w:bCs/>
        </w:rPr>
      </w:pPr>
      <w:r>
        <w:t>65.</w:t>
      </w:r>
      <w:r>
        <w:tab/>
      </w:r>
      <w:r>
        <w:rPr>
          <w:b/>
          <w:bCs/>
        </w:rPr>
        <w:t>The Committee strongly encourages the State party to involve civil society organizations, in particular organizations of persons with disabilities, in the preparation of its periodic report.</w:t>
      </w:r>
    </w:p>
    <w:p>
      <w:pPr>
        <w:pStyle w:val="SingleTxtG"/>
        <w:rPr>
          <w:b/>
          <w:bCs/>
        </w:rPr>
      </w:pPr>
      <w:r>
        <w:t>66.</w:t>
      </w:r>
      <w:r>
        <w:tab/>
      </w:r>
      <w:r>
        <w:rPr>
          <w:b/>
          <w:bCs/>
        </w:rPr>
        <w:t>The Committee requests that the State party disseminate the present concluding observations widely, including to non-governmental organizations and organizations of persons with disabilities, and to persons with disabilities themselves and members of their families, in national and minority languages, including sign language, and in accessible formats, and to make them available on the government website on human rights.</w:t>
      </w:r>
    </w:p>
    <w:p>
      <w:pPr>
        <w:pStyle w:val="H23G"/>
      </w:pPr>
      <w:r>
        <w:tab/>
      </w:r>
      <w:r>
        <w:tab/>
        <w:t>Next periodic report</w:t>
      </w:r>
    </w:p>
    <w:p>
      <w:pPr>
        <w:pStyle w:val="SingleTxtG"/>
        <w:rPr>
          <w:b/>
          <w:bCs/>
        </w:rPr>
      </w:pPr>
      <w:r>
        <w:t>67.</w:t>
      </w:r>
      <w:r>
        <w:tab/>
      </w:r>
      <w:r>
        <w:rPr>
          <w:b/>
          <w:bCs/>
        </w:rPr>
        <w:t xml:space="preserve">The Committee requests the State party to submit its </w:t>
      </w:r>
      <w:r>
        <w:rPr>
          <w:b/>
          <w:bCs/>
          <w:color w:val="FF0000"/>
        </w:rPr>
        <w:t>[initial] [combined number periodic] [number periodic]</w:t>
      </w:r>
      <w:r>
        <w:rPr>
          <w:b/>
          <w:bCs/>
        </w:rPr>
        <w:t xml:space="preserve"> report</w:t>
      </w:r>
      <w:r>
        <w:rPr>
          <w:b/>
          <w:bCs/>
          <w:color w:val="FF0000"/>
        </w:rPr>
        <w:t>s</w:t>
      </w:r>
      <w:r>
        <w:rPr>
          <w:b/>
          <w:bCs/>
        </w:rPr>
        <w:t xml:space="preserve"> by </w:t>
      </w:r>
      <w:r>
        <w:rPr>
          <w:b/>
          <w:bCs/>
          <w:color w:val="FF0000"/>
        </w:rPr>
        <w:t>date</w:t>
      </w:r>
      <w:r>
        <w:rPr>
          <w:b/>
          <w:bCs/>
        </w:rPr>
        <w:t xml:space="preserve"> and to include in </w:t>
      </w:r>
      <w:r>
        <w:rPr>
          <w:b/>
          <w:bCs/>
          <w:color w:val="FF0000"/>
        </w:rPr>
        <w:t>[it] [them]</w:t>
      </w:r>
      <w:r>
        <w:rPr>
          <w:b/>
          <w:bCs/>
        </w:rPr>
        <w:t xml:space="preserve"> information on the implementation of the recommendations made in the present concluding observations. The Committee also requests the State party to consider submitting the above-mentioned report</w:t>
      </w:r>
      <w:r>
        <w:rPr>
          <w:b/>
          <w:bCs/>
          <w:color w:val="FF0000"/>
        </w:rPr>
        <w:t>s</w:t>
      </w:r>
      <w:r>
        <w:rPr>
          <w:b/>
          <w:bCs/>
        </w:rPr>
        <w:t xml:space="preserve"> under the Committee’s simplified reporting procedure, according to which the Committee prepares a list of issues at least one year prior to the due date set for the report of a State party. The replies of a State party to such a list of issues constitute its report.</w:t>
      </w:r>
    </w:p>
    <w:p>
      <w:pPr>
        <w:spacing w:before="240"/>
        <w:jc w:val="center"/>
        <w:rPr>
          <w:u w:val="single"/>
        </w:rPr>
      </w:pPr>
      <w:r>
        <w:rPr>
          <w:u w:val="single"/>
        </w:rPr>
        <w:tab/>
      </w:r>
      <w:r>
        <w:rPr>
          <w:u w:val="single"/>
        </w:rPr>
        <w:tab/>
      </w:r>
      <w:r>
        <w:rPr>
          <w:u w:val="single"/>
        </w:rPr>
        <w:tab/>
      </w:r>
    </w:p>
    <w:sectPr>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rStyle w:val="Appelnotedebasdep"/>
          <w:sz w:val="20"/>
          <w:vertAlign w:val="baseline"/>
        </w:rPr>
        <w:t>*</w:t>
      </w:r>
      <w:r>
        <w:rPr>
          <w:sz w:val="20"/>
        </w:rPr>
        <w:tab/>
      </w:r>
      <w:r>
        <w:t xml:space="preserve">Adopted by the Committee at its </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757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4214</Characters>
  <Application>Microsoft Office Word</Application>
  <DocSecurity>0</DocSecurity>
  <Lines>35</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5</cp:revision>
  <cp:lastPrinted>2017-10-25T12:09:00Z</cp:lastPrinted>
  <dcterms:created xsi:type="dcterms:W3CDTF">2018-03-16T13:18:00Z</dcterms:created>
  <dcterms:modified xsi:type="dcterms:W3CDTF">2018-03-22T15:14:00Z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