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BC1826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BC1826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655626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BC1826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B45582" w:rsidRPr="0042007A" w:rsidRDefault="00B45582" w:rsidP="008C28E6">
      <w:pPr>
        <w:pStyle w:val="HChG"/>
      </w:pPr>
      <w:r>
        <w:tab/>
      </w:r>
      <w:r>
        <w:tab/>
      </w:r>
      <w:r w:rsidR="001525BA" w:rsidRPr="007A5DA9">
        <w:rPr>
          <w:lang w:val="fr-FR"/>
        </w:rPr>
        <w:t>Liste de points établie avant la soumission du</w:t>
      </w:r>
      <w:r w:rsidRPr="0042007A">
        <w:t xml:space="preserve"> </w:t>
      </w:r>
      <w:fldSimple w:instr=" DOCPROPERTY  prep  \* MERGEFORMAT ">
        <w:r w:rsidRPr="00B45582">
          <w:t>prep</w:t>
        </w:r>
      </w:fldSimple>
      <w:r w:rsidR="00BC75D7" w:rsidRPr="00BC75D7">
        <w:rPr>
          <w:rFonts w:eastAsia="Times New Roman"/>
          <w:b w:val="0"/>
          <w:sz w:val="20"/>
        </w:rPr>
        <w:footnoteReference w:customMarkFollows="1" w:id="2"/>
        <w:t>*</w:t>
      </w:r>
    </w:p>
    <w:p w:rsidR="00BC1826" w:rsidRPr="00BD674D" w:rsidRDefault="00BC1826" w:rsidP="00BC1826">
      <w:pPr>
        <w:pStyle w:val="H1G"/>
      </w:pPr>
      <w:r>
        <w:tab/>
      </w:r>
      <w:r w:rsidRPr="00BD674D">
        <w:t>A.</w:t>
      </w:r>
      <w:r w:rsidRPr="00BD674D">
        <w:tab/>
        <w:t>Objet</w:t>
      </w:r>
      <w:r>
        <w:t xml:space="preserve"> et obligations générales (art. </w:t>
      </w:r>
      <w:r w:rsidRPr="00BD674D">
        <w:t>1</w:t>
      </w:r>
      <w:r w:rsidRPr="008C40BF">
        <w:rPr>
          <w:vertAlign w:val="superscript"/>
        </w:rPr>
        <w:t>er</w:t>
      </w:r>
      <w:r>
        <w:t xml:space="preserve"> à </w:t>
      </w:r>
      <w:r w:rsidRPr="00BD674D">
        <w:t>4)</w:t>
      </w:r>
    </w:p>
    <w:p w:rsidR="00BC1826" w:rsidRPr="00BD674D" w:rsidRDefault="00BC1826" w:rsidP="00BC1826">
      <w:pPr>
        <w:pStyle w:val="H1G"/>
      </w:pPr>
      <w:r w:rsidRPr="00BD674D">
        <w:tab/>
        <w:t>B.</w:t>
      </w:r>
      <w:r w:rsidRPr="00BD674D">
        <w:tab/>
        <w:t xml:space="preserve">Droits spécifiques </w:t>
      </w:r>
      <w:r>
        <w:t>(art. </w:t>
      </w:r>
      <w:r w:rsidRPr="00BD674D">
        <w:t>5 à 30)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Égalité et non-discrimination </w:t>
      </w:r>
      <w:r>
        <w:t>(art. </w:t>
      </w:r>
      <w:r w:rsidRPr="00BD674D">
        <w:t xml:space="preserve">5) </w:t>
      </w:r>
      <w:r w:rsidRPr="008C40BF">
        <w:rPr>
          <w:highlight w:val="yellow"/>
        </w:rPr>
        <w:t>[[Tous les sous-titres ne figurent pas nécessairement dans les listes de points.]]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>Femmes handicapées (art.</w:t>
      </w:r>
      <w:r>
        <w:t> </w:t>
      </w:r>
      <w:r w:rsidRPr="00BD674D">
        <w:t xml:space="preserve">6) 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>Enfants handicapés</w:t>
      </w:r>
      <w:r>
        <w:t xml:space="preserve"> (art. </w:t>
      </w:r>
      <w:r w:rsidRPr="00BD674D">
        <w:t>7)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>Sensibilisation</w:t>
      </w:r>
      <w:r>
        <w:t xml:space="preserve"> (art. </w:t>
      </w:r>
      <w:r w:rsidRPr="00BD674D">
        <w:t>8)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Accessibilité </w:t>
      </w:r>
      <w:r>
        <w:t>(art. </w:t>
      </w:r>
      <w:r w:rsidRPr="00BD674D">
        <w:t>9)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Droit à la vie </w:t>
      </w:r>
      <w:r>
        <w:t>(art. </w:t>
      </w:r>
      <w:r w:rsidRPr="00BD674D">
        <w:t>10)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Situations de risque et situations d’urgence humanitaire </w:t>
      </w:r>
      <w:r>
        <w:t>(art. </w:t>
      </w:r>
      <w:r w:rsidRPr="00BD674D">
        <w:t>11)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Reconnaissance de la personnalité juridique dans des conditions d’égalité </w:t>
      </w:r>
      <w:r>
        <w:t>(art. </w:t>
      </w:r>
      <w:r w:rsidRPr="00BD674D">
        <w:t xml:space="preserve">12) 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Accès à la justice </w:t>
      </w:r>
      <w:r>
        <w:t>(art. </w:t>
      </w:r>
      <w:r w:rsidRPr="00BD674D">
        <w:t>13)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Liberté et sécurité de la personne </w:t>
      </w:r>
      <w:r>
        <w:t>(art. </w:t>
      </w:r>
      <w:r w:rsidRPr="00BD674D">
        <w:t>14)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Droit de ne pas être soumis à la torture ni à des peines ou traitements cruels, inhumains ou dégradants </w:t>
      </w:r>
      <w:r>
        <w:t>(art. </w:t>
      </w:r>
      <w:r w:rsidRPr="00BD674D">
        <w:t>15)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Droit de ne pas être soumis à l’exploitation, à la violence et à la maltraitance </w:t>
      </w:r>
      <w:r>
        <w:t>(art. </w:t>
      </w:r>
      <w:r w:rsidRPr="00BD674D">
        <w:t>16)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Protection de l’intégrité de la personne </w:t>
      </w:r>
      <w:r>
        <w:t>(art. </w:t>
      </w:r>
      <w:r w:rsidRPr="00BD674D">
        <w:t xml:space="preserve">17) 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Droit de circuler librement et nationalité </w:t>
      </w:r>
      <w:r>
        <w:t>(art. </w:t>
      </w:r>
      <w:r w:rsidRPr="00BD674D">
        <w:t>18)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Autonomie de vie et inclusion dans la société </w:t>
      </w:r>
      <w:r>
        <w:t>(art. </w:t>
      </w:r>
      <w:r w:rsidRPr="00BD674D">
        <w:t xml:space="preserve">19) 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Mobilité personnelle </w:t>
      </w:r>
      <w:r>
        <w:t>(art. </w:t>
      </w:r>
      <w:r w:rsidRPr="00BD674D">
        <w:t>20)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lastRenderedPageBreak/>
        <w:tab/>
      </w:r>
      <w:r w:rsidRPr="00BD674D">
        <w:tab/>
        <w:t xml:space="preserve">Liberté d’expression et d’opinion et accès à l’information </w:t>
      </w:r>
      <w:r>
        <w:t>(art. </w:t>
      </w:r>
      <w:r w:rsidRPr="00BD674D">
        <w:t>21)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Respect de la vie privée </w:t>
      </w:r>
      <w:r>
        <w:t>(art. </w:t>
      </w:r>
      <w:r w:rsidRPr="00BD674D">
        <w:t>22)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Respect du domicile et de la famille </w:t>
      </w:r>
      <w:r>
        <w:t>(art. </w:t>
      </w:r>
      <w:r w:rsidRPr="00BD674D">
        <w:t>23)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Éducation </w:t>
      </w:r>
      <w:r>
        <w:t>(art. </w:t>
      </w:r>
      <w:r w:rsidRPr="00BD674D">
        <w:t>24)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Santé </w:t>
      </w:r>
      <w:r>
        <w:t>(art. </w:t>
      </w:r>
      <w:r w:rsidRPr="00BD674D">
        <w:t>25)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Adaptation et réadaptation </w:t>
      </w:r>
      <w:r>
        <w:t>(art. </w:t>
      </w:r>
      <w:r w:rsidRPr="00BD674D">
        <w:t>26)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Travail et emploi </w:t>
      </w:r>
      <w:r>
        <w:t>(art. </w:t>
      </w:r>
      <w:r w:rsidRPr="00BD674D">
        <w:t xml:space="preserve">27) 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Niveau de vie adéquat et protection sociale </w:t>
      </w:r>
      <w:r>
        <w:t>(art. </w:t>
      </w:r>
      <w:r w:rsidRPr="00BD674D">
        <w:t xml:space="preserve">28) 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Participation à la vie politique et à la vie publique </w:t>
      </w:r>
      <w:r>
        <w:t>(art. </w:t>
      </w:r>
      <w:r w:rsidRPr="00BD674D">
        <w:t>29)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>Participation à la vie culturelle et récréative, aux loisirs et aux sports</w:t>
      </w:r>
      <w:r w:rsidRPr="00BD674D">
        <w:rPr>
          <w:lang w:val="fr-FR"/>
        </w:rPr>
        <w:t xml:space="preserve"> </w:t>
      </w:r>
      <w:r>
        <w:t>(art. </w:t>
      </w:r>
      <w:r w:rsidRPr="00BD674D">
        <w:t>30)</w:t>
      </w:r>
    </w:p>
    <w:p w:rsidR="00BC1826" w:rsidRPr="00BD674D" w:rsidRDefault="00BC1826" w:rsidP="00BC1826">
      <w:pPr>
        <w:pStyle w:val="H1G"/>
        <w:keepNext w:val="0"/>
        <w:keepLines w:val="0"/>
      </w:pPr>
      <w:r w:rsidRPr="00BD674D">
        <w:tab/>
        <w:t>C.</w:t>
      </w:r>
      <w:r w:rsidRPr="00BD674D">
        <w:tab/>
        <w:t>Obligations particulières</w:t>
      </w:r>
      <w:r w:rsidRPr="00BD674D">
        <w:rPr>
          <w:lang w:val="fr-FR"/>
        </w:rPr>
        <w:t xml:space="preserve"> </w:t>
      </w:r>
      <w:r>
        <w:t>(art. 31 à </w:t>
      </w:r>
      <w:r w:rsidRPr="00BD674D">
        <w:t>33)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Statistiques et collecte des données </w:t>
      </w:r>
      <w:r>
        <w:t>(art. </w:t>
      </w:r>
      <w:r w:rsidRPr="00BD674D">
        <w:t>31)</w:t>
      </w:r>
    </w:p>
    <w:p w:rsidR="00BC1826" w:rsidRPr="00BD674D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 xml:space="preserve">Coopération internationale </w:t>
      </w:r>
      <w:r>
        <w:t>(art. </w:t>
      </w:r>
      <w:r w:rsidRPr="00BD674D">
        <w:t xml:space="preserve">32) </w:t>
      </w:r>
    </w:p>
    <w:p w:rsidR="00BC1826" w:rsidRDefault="00BC1826" w:rsidP="00BC1826">
      <w:pPr>
        <w:pStyle w:val="H23G"/>
        <w:keepNext w:val="0"/>
        <w:keepLines w:val="0"/>
      </w:pPr>
      <w:r w:rsidRPr="00BD674D">
        <w:tab/>
      </w:r>
      <w:r w:rsidRPr="00BD674D">
        <w:tab/>
        <w:t>Application et suivi au niveau national</w:t>
      </w:r>
      <w:r w:rsidRPr="00BD674D">
        <w:rPr>
          <w:lang w:val="fr-FR"/>
        </w:rPr>
        <w:t xml:space="preserve"> </w:t>
      </w:r>
      <w:r>
        <w:t>(art. </w:t>
      </w:r>
      <w:r w:rsidRPr="00BD674D">
        <w:t>33)</w:t>
      </w:r>
    </w:p>
    <w:p w:rsidR="00BC1826" w:rsidRPr="008C40BF" w:rsidRDefault="00BC1826" w:rsidP="00BC1826">
      <w:pPr>
        <w:pStyle w:val="SingleTxtG"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655626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BC1826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BC75D7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BC75D7" w:rsidRPr="00C60A55" w:rsidRDefault="00BC75D7" w:rsidP="00BC75D7">
      <w:pPr>
        <w:pStyle w:val="FootnoteText"/>
      </w:pPr>
      <w:r>
        <w:tab/>
      </w:r>
      <w:r w:rsidRPr="00BD674D">
        <w:rPr>
          <w:rStyle w:val="FootnoteReference"/>
          <w:sz w:val="20"/>
          <w:vertAlign w:val="baseline"/>
        </w:rPr>
        <w:t>*</w:t>
      </w:r>
      <w:r w:rsidRPr="00BD674D">
        <w:rPr>
          <w:sz w:val="20"/>
        </w:rPr>
        <w:tab/>
      </w:r>
      <w:r w:rsidRPr="000909EC">
        <w:t xml:space="preserve">Adoptée par le </w:t>
      </w:r>
      <w:r>
        <w:t>g</w:t>
      </w:r>
      <w:r w:rsidRPr="000909EC">
        <w:t xml:space="preserve">roupe de travail de présession à sa </w:t>
      </w:r>
      <w:r w:rsidRPr="0011112D">
        <w:rPr>
          <w:color w:val="FF0000"/>
        </w:rPr>
        <w:t>[</w:t>
      </w:r>
      <w:r>
        <w:rPr>
          <w:color w:val="FF0000"/>
        </w:rPr>
        <w:t>énième]</w:t>
      </w:r>
      <w:r w:rsidRPr="000909EC">
        <w:t xml:space="preserve"> session (</w:t>
      </w:r>
      <w:r w:rsidRPr="00143387">
        <w:rPr>
          <w:color w:val="FF0000"/>
        </w:rPr>
        <w:t>dates</w:t>
      </w:r>
      <w:r w:rsidRPr="000909EC">
        <w:t>)</w:t>
      </w:r>
      <w:r w:rsidRPr="00C60A55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BC1826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BC1826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525BA"/>
    <w:rsid w:val="00176178"/>
    <w:rsid w:val="001D64AF"/>
    <w:rsid w:val="001E498C"/>
    <w:rsid w:val="001E7DF9"/>
    <w:rsid w:val="001F525A"/>
    <w:rsid w:val="00214CB3"/>
    <w:rsid w:val="00223272"/>
    <w:rsid w:val="0024779E"/>
    <w:rsid w:val="002760C9"/>
    <w:rsid w:val="00291F1D"/>
    <w:rsid w:val="002A0540"/>
    <w:rsid w:val="002D340A"/>
    <w:rsid w:val="00340F07"/>
    <w:rsid w:val="00353ED5"/>
    <w:rsid w:val="0037014C"/>
    <w:rsid w:val="0039005B"/>
    <w:rsid w:val="003B2ABC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4BBC"/>
    <w:rsid w:val="004F4E8D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55626"/>
    <w:rsid w:val="00684555"/>
    <w:rsid w:val="006910CE"/>
    <w:rsid w:val="006A70BC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28E6"/>
    <w:rsid w:val="008C6C1B"/>
    <w:rsid w:val="008C7952"/>
    <w:rsid w:val="008F5D35"/>
    <w:rsid w:val="00957790"/>
    <w:rsid w:val="009705C8"/>
    <w:rsid w:val="00981901"/>
    <w:rsid w:val="009E06AD"/>
    <w:rsid w:val="009F65C5"/>
    <w:rsid w:val="00A3197A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929B6"/>
    <w:rsid w:val="00BA0CA9"/>
    <w:rsid w:val="00BC1826"/>
    <w:rsid w:val="00BC4CFE"/>
    <w:rsid w:val="00BC75D7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E0C1B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54B"/>
    <w:rsid w:val="00EA4D06"/>
    <w:rsid w:val="00ED7151"/>
    <w:rsid w:val="00F164B0"/>
    <w:rsid w:val="00F43810"/>
    <w:rsid w:val="00F660DF"/>
    <w:rsid w:val="00F80094"/>
    <w:rsid w:val="00F95C08"/>
    <w:rsid w:val="00FA66E5"/>
    <w:rsid w:val="00FE4E9D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2018-03-23T13:15:00Z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