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5F0642" w:rsidP="00007BCB">
            <w:pPr>
              <w:jc w:val="right"/>
            </w:pPr>
            <w:r>
              <w:rPr>
                <w:sz w:val="40"/>
              </w:rPr>
              <w:t>A</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5F0642" w:rsidP="00E56EE3">
            <w:pPr>
              <w:spacing w:before="120" w:line="360" w:lineRule="exact"/>
              <w:rPr>
                <w:b/>
                <w:sz w:val="34"/>
                <w:szCs w:val="34"/>
              </w:rPr>
            </w:pPr>
            <w:r>
              <w:rPr>
                <w:b/>
                <w:sz w:val="40"/>
                <w:szCs w:val="40"/>
              </w:rPr>
              <w:t>Asamblea General</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fldSimple w:instr=" DOCPROPERTY  dist  \* MERGEFORMAT ">
              <w:r w:rsidR="005B3572">
                <w:t>dist</w:t>
              </w:r>
            </w:fldSimple>
          </w:p>
          <w:p w:rsidR="00935A0B" w:rsidRPr="00F43810" w:rsidRDefault="003C20C5"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A002CC" w:rsidP="00935A0B">
            <w:fldSimple w:instr=" DOCPROPERTY  tlang  \* MERGEFORMAT ">
              <w:r w:rsidR="00935A0B" w:rsidRPr="00F43810">
                <w:t>tlang</w:t>
              </w:r>
            </w:fldSimple>
          </w:p>
          <w:p w:rsidR="00935A0B" w:rsidRPr="00F43810" w:rsidRDefault="00935A0B" w:rsidP="00935A0B">
            <w:r w:rsidRPr="00F43810">
              <w:t xml:space="preserve">Original: </w:t>
            </w:r>
            <w:fldSimple w:instr=" DOCPROPERTY  olang  \* MERGEFORMAT ">
              <w:r w:rsidRPr="00F43810">
                <w:t>olang</w:t>
              </w:r>
            </w:fldSimple>
          </w:p>
          <w:p w:rsidR="002D5AAC" w:rsidRDefault="00A002CC" w:rsidP="00935A0B">
            <w:pPr>
              <w:spacing w:line="240" w:lineRule="exact"/>
            </w:pPr>
            <w:fldSimple w:instr=" DOCPROPERTY  virs  \* MERGEFORMAT ">
              <w:r w:rsidR="00935A0B" w:rsidRPr="00F43810">
                <w:t>virs</w:t>
              </w:r>
            </w:fldSimple>
          </w:p>
        </w:tc>
      </w:tr>
    </w:tbl>
    <w:p w:rsidR="005F0642" w:rsidRPr="00EA3602" w:rsidRDefault="005F0642" w:rsidP="005F0642">
      <w:pPr>
        <w:spacing w:before="120" w:line="240" w:lineRule="auto"/>
        <w:jc w:val="both"/>
        <w:rPr>
          <w:b/>
          <w:bCs/>
          <w:sz w:val="24"/>
          <w:szCs w:val="24"/>
        </w:rPr>
      </w:pPr>
      <w:r w:rsidRPr="00EA3602">
        <w:rPr>
          <w:rStyle w:val="Strong"/>
          <w:sz w:val="24"/>
          <w:szCs w:val="24"/>
          <w:shd w:val="clear" w:color="auto" w:fill="FFFFFF"/>
        </w:rPr>
        <w:t>Consejo de Derechos Humanos</w:t>
      </w:r>
    </w:p>
    <w:p w:rsidR="00BE4052" w:rsidRPr="00404C48" w:rsidRDefault="00BE4052" w:rsidP="00BE4052">
      <w:pPr>
        <w:rPr>
          <w:b/>
        </w:rPr>
      </w:pPr>
      <w:r w:rsidRPr="00404C48">
        <w:rPr>
          <w:b/>
        </w:rPr>
        <w:t>Grupo de Trabajo sobre la Detención Arbitraria</w:t>
      </w:r>
    </w:p>
    <w:p w:rsidR="00BE4052" w:rsidRPr="00495FF0" w:rsidRDefault="00BE4052" w:rsidP="00BE4052">
      <w:pPr>
        <w:pStyle w:val="HChG"/>
        <w:rPr>
          <w:szCs w:val="28"/>
        </w:rPr>
      </w:pPr>
      <w:r w:rsidRPr="00495FF0">
        <w:rPr>
          <w:szCs w:val="28"/>
        </w:rPr>
        <w:tab/>
      </w:r>
      <w:r w:rsidRPr="00495FF0">
        <w:rPr>
          <w:szCs w:val="28"/>
        </w:rPr>
        <w:tab/>
        <w:t>Opiniones aprobadas por el Grupo de Trabajo sobre</w:t>
      </w:r>
      <w:r w:rsidR="00DE17EC">
        <w:rPr>
          <w:szCs w:val="28"/>
        </w:rPr>
        <w:t xml:space="preserve"> </w:t>
      </w:r>
      <w:r w:rsidRPr="00495FF0">
        <w:rPr>
          <w:szCs w:val="28"/>
        </w:rPr>
        <w:t>la</w:t>
      </w:r>
      <w:r w:rsidR="00DE17EC">
        <w:rPr>
          <w:szCs w:val="28"/>
        </w:rPr>
        <w:t xml:space="preserve"> </w:t>
      </w:r>
      <w:r w:rsidRPr="00495FF0">
        <w:rPr>
          <w:szCs w:val="28"/>
        </w:rPr>
        <w:t xml:space="preserve">Detención Arbitraria en su </w:t>
      </w:r>
      <w:r w:rsidRPr="00495FF0">
        <w:rPr>
          <w:color w:val="FF0000"/>
          <w:szCs w:val="28"/>
        </w:rPr>
        <w:t>número</w:t>
      </w:r>
      <w:r w:rsidRPr="00495FF0">
        <w:rPr>
          <w:szCs w:val="28"/>
        </w:rPr>
        <w:t xml:space="preserve"> período de</w:t>
      </w:r>
      <w:r w:rsidR="00DE17EC">
        <w:rPr>
          <w:szCs w:val="28"/>
        </w:rPr>
        <w:t xml:space="preserve"> </w:t>
      </w:r>
      <w:r w:rsidRPr="00495FF0">
        <w:rPr>
          <w:szCs w:val="28"/>
        </w:rPr>
        <w:t xml:space="preserve">sesiones, </w:t>
      </w:r>
      <w:r w:rsidRPr="00495FF0">
        <w:rPr>
          <w:color w:val="FF0000"/>
          <w:szCs w:val="28"/>
        </w:rPr>
        <w:t>fechas</w:t>
      </w:r>
    </w:p>
    <w:p w:rsidR="00BE4052" w:rsidRPr="00D6451C" w:rsidRDefault="00BE4052" w:rsidP="00BE4052">
      <w:pPr>
        <w:pStyle w:val="H1G"/>
      </w:pPr>
      <w:r w:rsidRPr="00D6451C">
        <w:tab/>
      </w:r>
      <w:r w:rsidRPr="00D6451C">
        <w:tab/>
        <w:t xml:space="preserve">Opinión núm. </w:t>
      </w:r>
      <w:r w:rsidRPr="00D6451C">
        <w:rPr>
          <w:color w:val="FF0000"/>
        </w:rPr>
        <w:t>##</w:t>
      </w:r>
      <w:r w:rsidRPr="00D6451C">
        <w:t>/</w:t>
      </w:r>
      <w:r w:rsidRPr="00D6451C">
        <w:rPr>
          <w:color w:val="FF0000"/>
        </w:rPr>
        <w:t>####</w:t>
      </w:r>
      <w:r>
        <w:t xml:space="preserve">, </w:t>
      </w:r>
      <w:r w:rsidRPr="00D6451C">
        <w:t xml:space="preserve">relativa a </w:t>
      </w:r>
      <w:r w:rsidRPr="00D6451C">
        <w:rPr>
          <w:color w:val="FF0000"/>
        </w:rPr>
        <w:t>persona</w:t>
      </w:r>
      <w:r w:rsidRPr="00D6451C">
        <w:t xml:space="preserve"> (</w:t>
      </w:r>
      <w:r w:rsidRPr="00D6451C">
        <w:rPr>
          <w:color w:val="FF0000"/>
        </w:rPr>
        <w:t>país</w:t>
      </w:r>
      <w:r w:rsidRPr="00D6451C">
        <w:t>)</w:t>
      </w:r>
    </w:p>
    <w:p w:rsidR="00BE4052" w:rsidRPr="00266E10" w:rsidRDefault="00BE4052" w:rsidP="00BE4052">
      <w:pPr>
        <w:pStyle w:val="SingleTxtG"/>
      </w:pPr>
      <w:r w:rsidRPr="00266E10">
        <w:t>1.</w:t>
      </w:r>
      <w:r w:rsidRPr="00266E10">
        <w:tab/>
        <w:t>El Grupo de Trabajo sobre la Detención Arbitraria fue establecido en virtud de la resolución 1991/42 de la Comisión de Derechos Humanos, que prorrogó y aclaró el mandato del Grupo de Trabajo en su resolución 1997/50. Con arreglo a lo dispuesto en la resolución 60/251 de la Asamblea General y en la decisión 1/102 del Consejo de Derechos Humanos, el Consejo asumió el mandato de la Comisión. El Consejo prorrogó el mandato del Grupo de Trabajo por tres años mediante su resolución 33/30, de 30 de septiembre de 2016.</w:t>
      </w:r>
    </w:p>
    <w:p w:rsidR="00BE4052" w:rsidRPr="00266E10" w:rsidRDefault="00BE4052" w:rsidP="00BE4052">
      <w:pPr>
        <w:pStyle w:val="SingleTxtG"/>
      </w:pPr>
      <w:r w:rsidRPr="00266E10">
        <w:t>2.</w:t>
      </w:r>
      <w:r w:rsidRPr="00266E10">
        <w:tab/>
        <w:t xml:space="preserve">De conformidad con sus métodos de trabajo (A/HRC/33/66), el Grupo de Trabajo transmitió el </w:t>
      </w:r>
      <w:r w:rsidRPr="00266E10">
        <w:rPr>
          <w:color w:val="FF0000"/>
        </w:rPr>
        <w:t>fecha</w:t>
      </w:r>
      <w:r w:rsidRPr="00266E10">
        <w:t xml:space="preserve"> al Gobierno de </w:t>
      </w:r>
      <w:r w:rsidRPr="00266E10">
        <w:rPr>
          <w:color w:val="FF0000"/>
        </w:rPr>
        <w:t>país</w:t>
      </w:r>
      <w:r w:rsidRPr="00266E10">
        <w:t xml:space="preserve"> una comunicación relativa a </w:t>
      </w:r>
      <w:r w:rsidRPr="00266E10">
        <w:rPr>
          <w:color w:val="FF0000"/>
        </w:rPr>
        <w:t>persona</w:t>
      </w:r>
      <w:r w:rsidRPr="00266E10">
        <w:t xml:space="preserve">. El Gobierno </w:t>
      </w:r>
      <w:r w:rsidRPr="00266E10">
        <w:rPr>
          <w:color w:val="FF0000"/>
        </w:rPr>
        <w:t>[no ha respondido a la comunicación]</w:t>
      </w:r>
      <w:r w:rsidRPr="00266E10">
        <w:t xml:space="preserve"> </w:t>
      </w:r>
      <w:r w:rsidRPr="00266E10">
        <w:rPr>
          <w:color w:val="FF0000"/>
        </w:rPr>
        <w:t>[respondió a la comunicación el fecha]</w:t>
      </w:r>
      <w:r w:rsidRPr="00266E10">
        <w:t xml:space="preserve">. El Estado </w:t>
      </w:r>
      <w:r w:rsidRPr="00266E10">
        <w:rPr>
          <w:color w:val="FF0000"/>
        </w:rPr>
        <w:t>[no]</w:t>
      </w:r>
      <w:r w:rsidRPr="00266E10">
        <w:t xml:space="preserve"> es parte en el Pacto Internacional de Derechos Civiles y Políticos.</w:t>
      </w:r>
    </w:p>
    <w:p w:rsidR="00BE4052" w:rsidRPr="00266E10" w:rsidRDefault="00BE4052" w:rsidP="00BE4052">
      <w:pPr>
        <w:pStyle w:val="SingleTxtG"/>
      </w:pPr>
      <w:r w:rsidRPr="00266E10">
        <w:t>3.</w:t>
      </w:r>
      <w:r w:rsidRPr="00266E10">
        <w:tab/>
        <w:t>El Grupo de Trabajo considera arbitraria la privación de libertad en los casos siguientes:</w:t>
      </w:r>
    </w:p>
    <w:p w:rsidR="00BE4052" w:rsidRPr="00266E10" w:rsidRDefault="00BE4052" w:rsidP="003C20C5">
      <w:pPr>
        <w:pStyle w:val="SingleTxtG"/>
        <w:ind w:firstLine="567"/>
      </w:pPr>
      <w:r w:rsidRPr="00266E10">
        <w:t>a)</w:t>
      </w:r>
      <w:r w:rsidRPr="00266E10">
        <w:tab/>
        <w:t>Cuando es manifiestamente imposible invocar fundamento jurídico alguno que la justifique (como el mantenimiento en reclusión de una persona tras haber cumplido su condena o a pesar de una ley de amnistía que le sea aplicable) (categoría I);</w:t>
      </w:r>
    </w:p>
    <w:p w:rsidR="00BE4052" w:rsidRPr="00266E10" w:rsidRDefault="00BE4052" w:rsidP="003C20C5">
      <w:pPr>
        <w:pStyle w:val="SingleTxtG"/>
        <w:ind w:firstLine="567"/>
      </w:pPr>
      <w:r w:rsidRPr="00266E10">
        <w:t>b)</w:t>
      </w:r>
      <w:r w:rsidRPr="00266E10">
        <w:tab/>
        <w:t>Cuando la privación de libertad resulta del ejercicio de los derechos o libertades garantizados por los artículos 7, 13, 14, 18, 19, 20 y 21 de la Declaración Universal de Derechos Humanos y, respecto de los Estados partes, por los artículos 12, 18, 19, 21, 22, 25, 26 y 27 del Pacto Internacional de Derechos Civiles y Políticos (categoría II);</w:t>
      </w:r>
    </w:p>
    <w:p w:rsidR="00BE4052" w:rsidRPr="00266E10" w:rsidRDefault="00BE4052" w:rsidP="003C20C5">
      <w:pPr>
        <w:pStyle w:val="SingleTxtG"/>
        <w:ind w:firstLine="567"/>
      </w:pPr>
      <w:r w:rsidRPr="00266E10">
        <w:t>c)</w:t>
      </w:r>
      <w:r w:rsidRPr="00266E10">
        <w:tab/>
        <w:t>Cuando la inobservancia, total o parcial, de las normas internacionales relativas al derecho a un juicio imparcial, establecidas en la Declaración Universal de Derechos Humanos y en los instrumentos internacionales pertinentes aceptados por los Estados interesados, es de una gravedad tal que confiere a la privación de libertad carácter arbitrario (categoría III);</w:t>
      </w:r>
    </w:p>
    <w:p w:rsidR="00BE4052" w:rsidRPr="00266E10" w:rsidRDefault="00BE4052" w:rsidP="003C20C5">
      <w:pPr>
        <w:pStyle w:val="SingleTxtG"/>
        <w:ind w:firstLine="567"/>
      </w:pPr>
      <w:r w:rsidRPr="00266E10">
        <w:t>d)</w:t>
      </w:r>
      <w:r w:rsidRPr="00266E10">
        <w:tab/>
        <w:t>Cuando los solicitantes de asilo, inmigrantes o refugiados son objeto de detención administrativa prolongada sin posibilidad de examen o recurso administrativo o judicial (categoría IV);</w:t>
      </w:r>
    </w:p>
    <w:p w:rsidR="00BE4052" w:rsidRPr="00266E10" w:rsidRDefault="00BE4052" w:rsidP="003C20C5">
      <w:pPr>
        <w:pStyle w:val="SingleTxtG"/>
        <w:ind w:firstLine="567"/>
      </w:pPr>
      <w:r w:rsidRPr="00266E10">
        <w:t>e)</w:t>
      </w:r>
      <w:r w:rsidRPr="00266E10">
        <w:tab/>
        <w:t xml:space="preserve">Cuando la privación de libertad constituye una vulneración del derecho internacional por tratarse de discriminación por motivos de nacimiento, origen nacional, étnico o social, idioma, religión, condición económica, opinión política o de otra índole, </w:t>
      </w:r>
      <w:r w:rsidRPr="00266E10">
        <w:lastRenderedPageBreak/>
        <w:t>género, orientación sexual, discapacidad u otra condición, que lleva o puede llevar a ignorar el principio de igualdad de los seres humanos (categoría V).</w:t>
      </w:r>
    </w:p>
    <w:p w:rsidR="00BE4052" w:rsidRPr="00266E10" w:rsidRDefault="00BE4052" w:rsidP="00BE4052">
      <w:pPr>
        <w:pStyle w:val="H23G"/>
        <w:spacing w:line="240" w:lineRule="atLeast"/>
      </w:pPr>
      <w:r w:rsidRPr="00266E10">
        <w:tab/>
      </w:r>
      <w:r w:rsidRPr="00266E10">
        <w:tab/>
        <w:t>Información recibida</w:t>
      </w:r>
    </w:p>
    <w:p w:rsidR="00BE4052" w:rsidRPr="00266E10" w:rsidRDefault="00BE4052" w:rsidP="00BE4052">
      <w:pPr>
        <w:pStyle w:val="H4G"/>
        <w:spacing w:line="240" w:lineRule="atLeast"/>
      </w:pPr>
      <w:r w:rsidRPr="00266E10">
        <w:tab/>
      </w:r>
      <w:r w:rsidRPr="00266E10">
        <w:tab/>
        <w:t>Comunicación de la fuente</w:t>
      </w:r>
    </w:p>
    <w:p w:rsidR="00BE4052" w:rsidRPr="00266E10" w:rsidRDefault="00BE4052" w:rsidP="00BE4052">
      <w:pPr>
        <w:pStyle w:val="H4G"/>
        <w:spacing w:line="240" w:lineRule="atLeast"/>
      </w:pPr>
      <w:r w:rsidRPr="00266E10">
        <w:tab/>
      </w:r>
      <w:r w:rsidRPr="00266E10">
        <w:tab/>
        <w:t>Respuesta del Gobierno</w:t>
      </w:r>
    </w:p>
    <w:p w:rsidR="00BE4052" w:rsidRPr="00266E10" w:rsidRDefault="00BE4052" w:rsidP="00BE4052">
      <w:pPr>
        <w:pStyle w:val="H23G"/>
        <w:spacing w:line="240" w:lineRule="atLeast"/>
      </w:pPr>
      <w:r w:rsidRPr="00266E10">
        <w:tab/>
      </w:r>
      <w:r w:rsidRPr="00266E10">
        <w:tab/>
        <w:t xml:space="preserve">Deliberaciones </w:t>
      </w:r>
      <w:r w:rsidRPr="00266E10">
        <w:rPr>
          <w:b w:val="0"/>
          <w:highlight w:val="yellow"/>
        </w:rPr>
        <w:t>[[Los dos párrafos que figuran a continuación se incluyen únicamente si es de aplicación el párrafo 15 de los métodos de trabajo]]</w:t>
      </w:r>
    </w:p>
    <w:p w:rsidR="00BE4052" w:rsidRPr="00266E10" w:rsidRDefault="00BE4052" w:rsidP="00BE4052">
      <w:pPr>
        <w:pStyle w:val="SingleTxtG"/>
      </w:pPr>
      <w:r w:rsidRPr="00266E10">
        <w:rPr>
          <w:color w:val="FF0000"/>
        </w:rPr>
        <w:t>##</w:t>
      </w:r>
      <w:r w:rsidRPr="00266E10">
        <w:t>.</w:t>
      </w:r>
      <w:r w:rsidRPr="00266E10">
        <w:tab/>
        <w:t>Ante la falta de respuesta del Gobierno, el Grupo de Trabajo ha decidido emitir la presente opinión, de conformidad con el párrafo 15 de sus métodos de trabajo.</w:t>
      </w:r>
    </w:p>
    <w:p w:rsidR="00BE4052" w:rsidRPr="00266E10" w:rsidRDefault="00BE4052" w:rsidP="00BE4052">
      <w:pPr>
        <w:pStyle w:val="SingleTxtG"/>
      </w:pPr>
      <w:r w:rsidRPr="00266E10">
        <w:rPr>
          <w:color w:val="FF0000"/>
        </w:rPr>
        <w:t>##</w:t>
      </w:r>
      <w:r w:rsidRPr="00266E10">
        <w:t>.</w:t>
      </w:r>
      <w:r w:rsidRPr="00266E10">
        <w:tab/>
        <w:t>El Grupo de Trabajo ha establecido en su jurisprudencia su manera de proceder en relación con las cuestiones probatorias. Si la fuente ha presentado indicios razonables de una vulneración de los requisitos internacionales constitutiva de detención arbitraria, debe entenderse que la carga de la prueba recae en el Gobierno en caso de que desee refutar las alegaciones (véase A/HRC/19/57, párr. 68). En el presente caso, el Gobierno ha optado por no impugnar las alegaciones, en principio fiables, formuladas por la fuente.</w:t>
      </w:r>
    </w:p>
    <w:p w:rsidR="00BE4052" w:rsidRPr="00266E10" w:rsidRDefault="00BE4052" w:rsidP="00BE4052">
      <w:pPr>
        <w:pStyle w:val="H23G"/>
        <w:spacing w:line="240" w:lineRule="atLeast"/>
      </w:pPr>
      <w:r w:rsidRPr="00266E10">
        <w:tab/>
      </w:r>
      <w:r w:rsidRPr="00266E10">
        <w:tab/>
        <w:t>Decisión</w:t>
      </w:r>
    </w:p>
    <w:p w:rsidR="00BE4052" w:rsidRPr="00266E10" w:rsidRDefault="00BE4052" w:rsidP="00BE4052">
      <w:pPr>
        <w:pStyle w:val="SingleTxtG"/>
      </w:pPr>
      <w:r w:rsidRPr="00266E10">
        <w:rPr>
          <w:color w:val="FF0000"/>
        </w:rPr>
        <w:t>##</w:t>
      </w:r>
      <w:r w:rsidRPr="00266E10">
        <w:t>.</w:t>
      </w:r>
      <w:r w:rsidRPr="00266E10">
        <w:tab/>
        <w:t>En vista de lo anterior, el Grupo de Trabajo emite la siguiente opinión:</w:t>
      </w:r>
    </w:p>
    <w:p w:rsidR="00BE4052" w:rsidRPr="00266E10" w:rsidRDefault="00BE4052" w:rsidP="00BE4052">
      <w:pPr>
        <w:pStyle w:val="SingleTxtG"/>
        <w:ind w:left="1701"/>
        <w:rPr>
          <w:color w:val="FF0000"/>
        </w:rPr>
      </w:pPr>
      <w:r w:rsidRPr="00266E10">
        <w:tab/>
        <w:t xml:space="preserve">La privación de libertad de </w:t>
      </w:r>
      <w:r w:rsidRPr="00266E10">
        <w:rPr>
          <w:color w:val="FF0000"/>
        </w:rPr>
        <w:t>persona</w:t>
      </w:r>
      <w:r w:rsidRPr="00266E10">
        <w:t xml:space="preserve"> es arbitraria, por cuanto contraviene los artículos </w:t>
      </w:r>
      <w:r w:rsidRPr="00266E10">
        <w:rPr>
          <w:color w:val="FF0000"/>
        </w:rPr>
        <w:t>[…]</w:t>
      </w:r>
      <w:r w:rsidRPr="00266E10">
        <w:t xml:space="preserve"> de la Declaración Universal de Derechos Humanos y los artículos </w:t>
      </w:r>
      <w:r w:rsidRPr="00266E10">
        <w:rPr>
          <w:color w:val="FF0000"/>
        </w:rPr>
        <w:t>[…]</w:t>
      </w:r>
      <w:r w:rsidRPr="00266E10">
        <w:t xml:space="preserve"> del Pacto Internacional de Derechos Civiles y Políticos, y se inscribe en la</w:t>
      </w:r>
      <w:r w:rsidRPr="00266E10">
        <w:rPr>
          <w:color w:val="FF0000"/>
        </w:rPr>
        <w:t>[s]</w:t>
      </w:r>
      <w:r w:rsidRPr="00266E10">
        <w:t xml:space="preserve"> categoría</w:t>
      </w:r>
      <w:r w:rsidRPr="00266E10">
        <w:rPr>
          <w:color w:val="FF0000"/>
        </w:rPr>
        <w:t>[s] […]</w:t>
      </w:r>
      <w:r w:rsidRPr="00266E10">
        <w:t>.</w:t>
      </w:r>
    </w:p>
    <w:p w:rsidR="00BE4052" w:rsidRPr="00266E10" w:rsidRDefault="00BE4052" w:rsidP="00BE4052">
      <w:pPr>
        <w:pStyle w:val="SingleTxtG"/>
        <w:rPr>
          <w:color w:val="000000"/>
        </w:rPr>
      </w:pPr>
      <w:r w:rsidRPr="00266E10">
        <w:rPr>
          <w:color w:val="FF0000"/>
        </w:rPr>
        <w:t>##</w:t>
      </w:r>
      <w:r w:rsidRPr="00266E10">
        <w:rPr>
          <w:color w:val="000000"/>
        </w:rPr>
        <w:t xml:space="preserve">. </w:t>
      </w:r>
      <w:r w:rsidRPr="00266E10">
        <w:rPr>
          <w:color w:val="000000"/>
        </w:rPr>
        <w:tab/>
        <w:t xml:space="preserve">El Grupo de Trabajo pide al Gobierno de </w:t>
      </w:r>
      <w:r w:rsidRPr="00266E10">
        <w:rPr>
          <w:color w:val="FF0000"/>
        </w:rPr>
        <w:t>país</w:t>
      </w:r>
      <w:r w:rsidRPr="00266E10">
        <w:rPr>
          <w:color w:val="000000"/>
        </w:rPr>
        <w:t xml:space="preserve"> que adopte las medidas necesarias para remediar la situación de </w:t>
      </w:r>
      <w:r w:rsidRPr="00266E10">
        <w:rPr>
          <w:color w:val="FF0000"/>
        </w:rPr>
        <w:t>persona</w:t>
      </w:r>
      <w:r w:rsidRPr="00266E10">
        <w:rPr>
          <w:color w:val="000000"/>
        </w:rPr>
        <w:t xml:space="preserve"> sin dilación y ponerla en conformidad con las normas internacionales pertinentes, incluidas las dispuestas en la Declaración Universal de Derechos Humanos </w:t>
      </w:r>
      <w:r w:rsidRPr="00266E10">
        <w:rPr>
          <w:color w:val="FF0000"/>
        </w:rPr>
        <w:t>[</w:t>
      </w:r>
      <w:r w:rsidRPr="00266E10">
        <w:rPr>
          <w:color w:val="000000"/>
        </w:rPr>
        <w:t>y el Pacto Internacional de Derechos Civiles y Políticos</w:t>
      </w:r>
      <w:r w:rsidRPr="00266E10">
        <w:rPr>
          <w:color w:val="FF0000"/>
        </w:rPr>
        <w:t>]</w:t>
      </w:r>
      <w:r w:rsidRPr="00266E10">
        <w:rPr>
          <w:color w:val="000000"/>
        </w:rPr>
        <w:t>.</w:t>
      </w:r>
    </w:p>
    <w:p w:rsidR="00BE4052" w:rsidRPr="00266E10" w:rsidRDefault="00BE4052" w:rsidP="00BE4052">
      <w:pPr>
        <w:pStyle w:val="SingleTxtG"/>
      </w:pPr>
      <w:r w:rsidRPr="00266E10">
        <w:rPr>
          <w:color w:val="FF0000"/>
        </w:rPr>
        <w:t>##</w:t>
      </w:r>
      <w:r w:rsidRPr="00266E10">
        <w:rPr>
          <w:color w:val="000000"/>
        </w:rPr>
        <w:t xml:space="preserve">. </w:t>
      </w:r>
      <w:r w:rsidRPr="00266E10">
        <w:rPr>
          <w:color w:val="000000"/>
        </w:rPr>
        <w:tab/>
        <w:t>El Grupo de Trabajo</w:t>
      </w:r>
      <w:r w:rsidRPr="00266E10">
        <w:rPr>
          <w:color w:val="FF0000"/>
        </w:rPr>
        <w:t xml:space="preserve"> </w:t>
      </w:r>
      <w:r w:rsidRPr="00266E10">
        <w:rPr>
          <w:color w:val="000000"/>
        </w:rPr>
        <w:t xml:space="preserve">considera que, teniendo en cuenta todas las circunstancias del caso, el remedio adecuado sería </w:t>
      </w:r>
      <w:r w:rsidRPr="00266E10">
        <w:rPr>
          <w:color w:val="FF0000"/>
        </w:rPr>
        <w:t>[</w:t>
      </w:r>
      <w:r w:rsidRPr="00266E10">
        <w:rPr>
          <w:color w:val="000000"/>
        </w:rPr>
        <w:t xml:space="preserve">poner a </w:t>
      </w:r>
      <w:r w:rsidRPr="00266E10">
        <w:rPr>
          <w:color w:val="FF0000"/>
        </w:rPr>
        <w:t>persona</w:t>
      </w:r>
      <w:r w:rsidRPr="00266E10">
        <w:rPr>
          <w:color w:val="000000"/>
        </w:rPr>
        <w:t xml:space="preserve"> inmediatamente en libertad y</w:t>
      </w:r>
      <w:r w:rsidRPr="00266E10">
        <w:rPr>
          <w:color w:val="FF0000"/>
        </w:rPr>
        <w:t>] [</w:t>
      </w:r>
      <w:r w:rsidRPr="00266E10">
        <w:rPr>
          <w:color w:val="000000"/>
        </w:rPr>
        <w:t>concederle</w:t>
      </w:r>
      <w:r w:rsidRPr="00266E10">
        <w:rPr>
          <w:color w:val="FF0000"/>
        </w:rPr>
        <w:t>]</w:t>
      </w:r>
      <w:r w:rsidRPr="00266E10" w:rsidDel="006D28ED">
        <w:rPr>
          <w:color w:val="FF0000"/>
        </w:rPr>
        <w:t xml:space="preserve"> </w:t>
      </w:r>
      <w:r w:rsidRPr="00266E10">
        <w:rPr>
          <w:color w:val="FF0000"/>
        </w:rPr>
        <w:t>[conceder a persona]</w:t>
      </w:r>
      <w:r w:rsidRPr="00266E10">
        <w:rPr>
          <w:color w:val="000000"/>
        </w:rPr>
        <w:t xml:space="preserve"> el derecho efectivo a obtener una indemnización y otros tipos de reparación, de conformidad con el derecho internacional.</w:t>
      </w:r>
    </w:p>
    <w:p w:rsidR="00BE4052" w:rsidRPr="00266E10" w:rsidRDefault="00BE4052" w:rsidP="00BE4052">
      <w:pPr>
        <w:pStyle w:val="H23G"/>
        <w:spacing w:line="240" w:lineRule="atLeast"/>
      </w:pPr>
      <w:r w:rsidRPr="00266E10">
        <w:tab/>
      </w:r>
      <w:r w:rsidRPr="00266E10">
        <w:tab/>
        <w:t>Procedimiento de seguimiento</w:t>
      </w:r>
    </w:p>
    <w:p w:rsidR="00BE4052" w:rsidRPr="00266E10" w:rsidRDefault="00BE4052" w:rsidP="00BE4052">
      <w:pPr>
        <w:pStyle w:val="SingleTxtG"/>
      </w:pPr>
      <w:r w:rsidRPr="00266E10">
        <w:rPr>
          <w:color w:val="FF0000"/>
        </w:rPr>
        <w:t>##</w:t>
      </w:r>
      <w:r w:rsidRPr="00266E10">
        <w:t>.</w:t>
      </w:r>
      <w:r w:rsidRPr="00266E10">
        <w:tab/>
        <w:t>De conformidad con el párrafo 20 de sus métodos de trabajo, el Grupo de Trabajo solicita a la fuente y el Gobierno que le proporcionen información sobre las medidas de seguimiento adoptadas respecto de las recomendaciones formuladas en la presente opinión, en</w:t>
      </w:r>
      <w:r>
        <w:t xml:space="preserve"> particular</w:t>
      </w:r>
      <w:r w:rsidRPr="00266E10">
        <w:t>:</w:t>
      </w:r>
    </w:p>
    <w:p w:rsidR="00BE4052" w:rsidRPr="00266E10" w:rsidRDefault="00BE4052" w:rsidP="003C20C5">
      <w:pPr>
        <w:pStyle w:val="SingleTxtG"/>
        <w:ind w:firstLine="567"/>
      </w:pPr>
      <w:r w:rsidRPr="00266E10">
        <w:t>a)</w:t>
      </w:r>
      <w:r w:rsidRPr="00266E10">
        <w:tab/>
        <w:t xml:space="preserve">Si se ha puesto en libertad a </w:t>
      </w:r>
      <w:r w:rsidRPr="00266E10">
        <w:rPr>
          <w:color w:val="FF0000"/>
        </w:rPr>
        <w:t>persona</w:t>
      </w:r>
      <w:r w:rsidRPr="00266E10">
        <w:t xml:space="preserve"> y, de ser así, en qué fecha;</w:t>
      </w:r>
    </w:p>
    <w:p w:rsidR="00BE4052" w:rsidRPr="00266E10" w:rsidRDefault="00BE4052" w:rsidP="003C20C5">
      <w:pPr>
        <w:pStyle w:val="SingleTxtG"/>
        <w:ind w:firstLine="567"/>
      </w:pPr>
      <w:r w:rsidRPr="00266E10">
        <w:t>b)</w:t>
      </w:r>
      <w:r w:rsidRPr="00266E10">
        <w:tab/>
        <w:t xml:space="preserve">Si se han concedido indemnizaciones u otras reparaciones a </w:t>
      </w:r>
      <w:r w:rsidRPr="00266E10">
        <w:rPr>
          <w:color w:val="FF0000"/>
        </w:rPr>
        <w:t>persona</w:t>
      </w:r>
      <w:r w:rsidRPr="00266E10">
        <w:t>;</w:t>
      </w:r>
    </w:p>
    <w:p w:rsidR="00BE4052" w:rsidRPr="00266E10" w:rsidRDefault="00BE4052" w:rsidP="003C20C5">
      <w:pPr>
        <w:pStyle w:val="SingleTxtG"/>
        <w:ind w:firstLine="567"/>
      </w:pPr>
      <w:r w:rsidRPr="00266E10">
        <w:t>c)</w:t>
      </w:r>
      <w:r w:rsidRPr="00266E10">
        <w:tab/>
        <w:t xml:space="preserve">Si se ha investigado la violación de los derechos de </w:t>
      </w:r>
      <w:r w:rsidRPr="00266E10">
        <w:rPr>
          <w:color w:val="FF0000"/>
        </w:rPr>
        <w:t>persona</w:t>
      </w:r>
      <w:r w:rsidRPr="00266E10">
        <w:t xml:space="preserve"> y, de ser así, el resultado de la investigación;</w:t>
      </w:r>
    </w:p>
    <w:p w:rsidR="00BE4052" w:rsidRPr="00266E10" w:rsidRDefault="00BE4052" w:rsidP="003C20C5">
      <w:pPr>
        <w:pStyle w:val="SingleTxtG"/>
        <w:ind w:firstLine="567"/>
      </w:pPr>
      <w:r w:rsidRPr="00266E10">
        <w:t>d)</w:t>
      </w:r>
      <w:r w:rsidRPr="00266E10">
        <w:tab/>
        <w:t xml:space="preserve">Si se han aprobado enmiendas legislativas o se han realizado modificaciones en la práctica para armonizar las leyes y las prácticas de </w:t>
      </w:r>
      <w:r w:rsidRPr="00266E10">
        <w:rPr>
          <w:color w:val="FF0000"/>
        </w:rPr>
        <w:t>país</w:t>
      </w:r>
      <w:r w:rsidRPr="00266E10">
        <w:t xml:space="preserve"> con sus obligaciones internacionales de conformidad con la presente opinión;</w:t>
      </w:r>
    </w:p>
    <w:p w:rsidR="00BE4052" w:rsidRPr="00266E10" w:rsidRDefault="00BE4052" w:rsidP="003C20C5">
      <w:pPr>
        <w:pStyle w:val="SingleTxtG"/>
        <w:ind w:firstLine="567"/>
      </w:pPr>
      <w:r w:rsidRPr="00266E10">
        <w:t>e)</w:t>
      </w:r>
      <w:r w:rsidRPr="00266E10">
        <w:tab/>
        <w:t>Si se ha adoptado alguna otra medida para aplicar la presente opinión.</w:t>
      </w:r>
    </w:p>
    <w:p w:rsidR="00BE4052" w:rsidRPr="00266E10" w:rsidRDefault="00BE4052" w:rsidP="00BE4052">
      <w:pPr>
        <w:pStyle w:val="SingleTxtG"/>
      </w:pPr>
      <w:r w:rsidRPr="00266E10">
        <w:rPr>
          <w:color w:val="FF0000"/>
        </w:rPr>
        <w:t>##</w:t>
      </w:r>
      <w:r w:rsidRPr="00266E10">
        <w:t>.</w:t>
      </w:r>
      <w:r w:rsidRPr="00266E10">
        <w:tab/>
        <w:t>Se invita al Gobierno a que informe al Grupo de Trabajo de las dificultades que pueda haber encontrado en la aplicación de las recomendaciones formuladas en la presente opinión y a que le indique si necesita asistencia técnica adicional, por ejemplo, mediante una visita del Grupo de Trabajo.</w:t>
      </w:r>
    </w:p>
    <w:p w:rsidR="00BE4052" w:rsidRPr="00266E10" w:rsidRDefault="00BE4052" w:rsidP="00BE4052">
      <w:pPr>
        <w:pStyle w:val="SingleTxtG"/>
      </w:pPr>
      <w:r w:rsidRPr="00266E10">
        <w:rPr>
          <w:color w:val="FF0000"/>
        </w:rPr>
        <w:lastRenderedPageBreak/>
        <w:t>##</w:t>
      </w:r>
      <w:r w:rsidRPr="00266E10">
        <w:t>.</w:t>
      </w:r>
      <w:r w:rsidRPr="00266E10">
        <w:tab/>
        <w:t>El Grupo de Trabajo solicita a la fuente y al Gobierno que proporcionen la información mencionada en un plazo de seis meses a partir de la fecha de transmisión de la presente opinión. No obstante, el Grupo de Trabajo se reserva el derecho de emprender su propio seguimiento de la opinión si se señalan a su atención nuevos motivos de preocupación en relación con el caso. Este procedimiento de seguimiento permitirá al Grupo de Trabajo mantener informado al Consejo de Derechos Humanos acerca de los progresos realizados para aplicar sus recomendaciones, así como, en su caso, de las deficiencias observadas.</w:t>
      </w:r>
    </w:p>
    <w:p w:rsidR="00BE4052" w:rsidRPr="00266E10" w:rsidRDefault="00BE4052" w:rsidP="003C20C5">
      <w:pPr>
        <w:pStyle w:val="SingleTxtG"/>
      </w:pPr>
      <w:r w:rsidRPr="00266E10">
        <w:rPr>
          <w:color w:val="FF0000"/>
        </w:rPr>
        <w:t>##</w:t>
      </w:r>
      <w:r w:rsidRPr="00266E10">
        <w:t>.</w:t>
      </w:r>
      <w:r w:rsidRPr="00266E10">
        <w:tab/>
        <w:t>El Grupo de Trabajo recuerda que el Consejo de Derechos Humanos ha alentado a todos los Estados a que colaboren con el Grupo de Trabajo, y les ha pedido que tengan en cuenta sus opiniones y, de ser necesario, tomen las medidas apropiadas para remediar la situación de las personas privadas arbitrariamente de libertad, y a que informen al Grupo de Trabajo de las medidas que hayan adoptado</w:t>
      </w:r>
      <w:r w:rsidR="003C20C5">
        <w:rPr>
          <w:rStyle w:val="FootnoteReference"/>
        </w:rPr>
        <w:footnoteReference w:id="1"/>
      </w:r>
      <w:r w:rsidRPr="00266E10">
        <w:t>.</w:t>
      </w:r>
    </w:p>
    <w:p w:rsidR="00BE4052" w:rsidRPr="00266E10" w:rsidRDefault="00BE4052" w:rsidP="00BE4052">
      <w:pPr>
        <w:pStyle w:val="SingleTxtG"/>
        <w:jc w:val="right"/>
        <w:rPr>
          <w:i/>
        </w:rPr>
      </w:pPr>
      <w:r w:rsidRPr="00266E10">
        <w:rPr>
          <w:i/>
        </w:rPr>
        <w:t xml:space="preserve">[Aprobada el </w:t>
      </w:r>
      <w:r w:rsidRPr="00266E10">
        <w:rPr>
          <w:i/>
          <w:color w:val="FF0000"/>
        </w:rPr>
        <w:t>fecha</w:t>
      </w:r>
      <w:r w:rsidRPr="00266E10">
        <w:rPr>
          <w:i/>
        </w:rPr>
        <w:t>]</w:t>
      </w:r>
    </w:p>
    <w:p w:rsidR="00BE4052" w:rsidRPr="00266E10" w:rsidRDefault="00BE4052" w:rsidP="00BE4052">
      <w:pPr>
        <w:pStyle w:val="SingleTxtG"/>
        <w:suppressAutoHyphens/>
        <w:spacing w:before="240" w:after="0"/>
        <w:jc w:val="center"/>
        <w:rPr>
          <w:u w:val="single"/>
        </w:rPr>
      </w:pPr>
      <w:r w:rsidRPr="00266E10">
        <w:rPr>
          <w:u w:val="single"/>
        </w:rPr>
        <w:tab/>
      </w:r>
      <w:r w:rsidRPr="00266E10">
        <w:rPr>
          <w:u w:val="single"/>
        </w:rPr>
        <w:tab/>
      </w:r>
      <w:r w:rsidRPr="00266E10">
        <w:rPr>
          <w:u w:val="single"/>
        </w:rPr>
        <w:tab/>
      </w:r>
    </w:p>
    <w:sectPr w:rsidR="00BE4052" w:rsidRPr="00266E10" w:rsidSect="00E56EE3">
      <w:headerReference w:type="even" r:id="rId9"/>
      <w:headerReference w:type="default" r:id="rId10"/>
      <w:footerReference w:type="even" r:id="rId11"/>
      <w:footerReference w:type="defaul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42B" w:rsidRPr="00CC2F16" w:rsidRDefault="00CB242B" w:rsidP="00CC2F16">
      <w:pPr>
        <w:pStyle w:val="Footer"/>
      </w:pPr>
    </w:p>
  </w:endnote>
  <w:endnote w:type="continuationSeparator" w:id="0">
    <w:p w:rsidR="00CB242B" w:rsidRPr="00CC2F16" w:rsidRDefault="00CB242B" w:rsidP="00CC2F16">
      <w:pPr>
        <w:pStyle w:val="Footer"/>
      </w:pPr>
    </w:p>
  </w:endnote>
  <w:endnote w:type="continuationNotice" w:id="1">
    <w:p w:rsidR="00CC2F16" w:rsidRDefault="00CC2F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Footer"/>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3C20C5">
      <w:rPr>
        <w:b/>
        <w:noProof/>
        <w:sz w:val="18"/>
      </w:rPr>
      <w:t>2</w:t>
    </w:r>
    <w:r w:rsidRPr="001A4396">
      <w:rPr>
        <w:b/>
        <w:sz w:val="18"/>
      </w:rPr>
      <w:fldChar w:fldCharType="end"/>
    </w:r>
    <w:r>
      <w:rPr>
        <w:b/>
        <w:sz w:val="18"/>
      </w:rPr>
      <w:tab/>
    </w:r>
    <w:fldSimple w:instr=" DOCPROPERTY  gdocf  \* MERGEFORMAT ">
      <w:r w:rsidR="00935A0B">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A002CC" w:rsidP="00935A0B">
    <w:pPr>
      <w:pStyle w:val="Footer"/>
      <w:tabs>
        <w:tab w:val="right" w:pos="9638"/>
      </w:tabs>
      <w:spacing w:line="240" w:lineRule="auto"/>
      <w:rPr>
        <w:b/>
        <w:sz w:val="18"/>
      </w:rPr>
    </w:pPr>
    <w:fldSimple w:instr=" DOCPROPERTY  gdocf  \* MERGEFORMAT ">
      <w:r w:rsidR="00935A0B">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3C20C5">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Footer"/>
      <w:rPr>
        <w:noProof/>
        <w:lang w:val="fr-FR" w:eastAsia="fr-FR"/>
      </w:rPr>
    </w:pPr>
    <w:r>
      <w:t>GE.</w:t>
    </w:r>
    <w:fldSimple w:instr=" DOCPROPERTY  gdoc  \* MERGEFORMAT ">
      <w:r>
        <w:t>gdoc</w:t>
      </w:r>
    </w:fldSimple>
    <w:r>
      <w:rPr>
        <w:noProof/>
        <w:lang w:val="fr-FR" w:eastAsia="fr-FR"/>
      </w:rPr>
      <w:t xml:space="preserve"> </w:t>
    </w:r>
  </w:p>
  <w:tbl>
    <w:tblPr>
      <w:tblStyle w:val="Tablaconcuadrcula1"/>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rPr>
            <w:drawing>
              <wp:inline distT="0" distB="0" distL="0" distR="0" wp14:anchorId="11BFBD58" wp14:editId="03CFA2A1">
                <wp:extent cx="1076400" cy="230400"/>
                <wp:effectExtent l="0" t="0" r="0" b="0"/>
                <wp:docPr id="1"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Footer"/>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D6685A">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3C20C5" w:rsidRDefault="003C20C5" w:rsidP="003C20C5">
      <w:pPr>
        <w:pStyle w:val="FootnoteText"/>
        <w:widowControl w:val="0"/>
        <w:tabs>
          <w:tab w:val="clear" w:pos="1021"/>
          <w:tab w:val="right" w:pos="1020"/>
        </w:tabs>
        <w:suppressAutoHyphens/>
      </w:pPr>
      <w:r>
        <w:tab/>
      </w:r>
      <w:r>
        <w:rPr>
          <w:rStyle w:val="FootnoteReference"/>
        </w:rPr>
        <w:footnoteRef/>
      </w:r>
      <w:r>
        <w:tab/>
      </w:r>
      <w:r w:rsidRPr="004963B0">
        <w:t>Véase la resolución 33/30 del Consejo de Derechos Humanos, párrs. 3 y 7.</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A002CC">
    <w:pPr>
      <w:pStyle w:val="Header"/>
    </w:pPr>
    <w:fldSimple w:instr=" DOCPROPERTY  symh  \* MERGEFORMAT ">
      <w:r w:rsidR="00935A0B">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A002CC" w:rsidP="00935A0B">
    <w:pPr>
      <w:pStyle w:val="Header"/>
      <w:jc w:val="right"/>
      <w:rPr>
        <w:u w:val="double"/>
      </w:rPr>
    </w:pPr>
    <w:fldSimple w:instr=" DOCPROPERTY  symh  \* MERGEFORMAT ">
      <w:r w:rsidR="00935A0B">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icleSectio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29697"/>
  </w:hdrShapeDefaults>
  <w:footnotePr>
    <w:footnote w:id="-1"/>
    <w:footnote w:id="0"/>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80183"/>
    <w:rsid w:val="0018024D"/>
    <w:rsid w:val="0018649F"/>
    <w:rsid w:val="00196389"/>
    <w:rsid w:val="001A4396"/>
    <w:rsid w:val="001B3EF6"/>
    <w:rsid w:val="001C7A89"/>
    <w:rsid w:val="001F2886"/>
    <w:rsid w:val="00273BD3"/>
    <w:rsid w:val="002A02C6"/>
    <w:rsid w:val="002A2EFC"/>
    <w:rsid w:val="002C0E18"/>
    <w:rsid w:val="002D4172"/>
    <w:rsid w:val="002D5AAC"/>
    <w:rsid w:val="002E73BB"/>
    <w:rsid w:val="002F405F"/>
    <w:rsid w:val="00301299"/>
    <w:rsid w:val="00307FB6"/>
    <w:rsid w:val="00317339"/>
    <w:rsid w:val="003215A3"/>
    <w:rsid w:val="00322004"/>
    <w:rsid w:val="003402C2"/>
    <w:rsid w:val="00376E4E"/>
    <w:rsid w:val="00381C24"/>
    <w:rsid w:val="003958D0"/>
    <w:rsid w:val="003A3CE4"/>
    <w:rsid w:val="003B00E5"/>
    <w:rsid w:val="003C20C5"/>
    <w:rsid w:val="003D3526"/>
    <w:rsid w:val="003E0332"/>
    <w:rsid w:val="003F43D1"/>
    <w:rsid w:val="003F6FF0"/>
    <w:rsid w:val="00407B78"/>
    <w:rsid w:val="00424203"/>
    <w:rsid w:val="004452DE"/>
    <w:rsid w:val="00454E07"/>
    <w:rsid w:val="004D1828"/>
    <w:rsid w:val="0050108D"/>
    <w:rsid w:val="00513081"/>
    <w:rsid w:val="00517901"/>
    <w:rsid w:val="00521DC1"/>
    <w:rsid w:val="00526683"/>
    <w:rsid w:val="005709E0"/>
    <w:rsid w:val="00572E19"/>
    <w:rsid w:val="005961C8"/>
    <w:rsid w:val="005B3572"/>
    <w:rsid w:val="005D7914"/>
    <w:rsid w:val="005F0642"/>
    <w:rsid w:val="005F0B42"/>
    <w:rsid w:val="00615628"/>
    <w:rsid w:val="00621949"/>
    <w:rsid w:val="00681A10"/>
    <w:rsid w:val="006C2031"/>
    <w:rsid w:val="006D461A"/>
    <w:rsid w:val="006F35EE"/>
    <w:rsid w:val="007021FF"/>
    <w:rsid w:val="00712895"/>
    <w:rsid w:val="00757357"/>
    <w:rsid w:val="007C333F"/>
    <w:rsid w:val="007E072F"/>
    <w:rsid w:val="00805D1C"/>
    <w:rsid w:val="00825F8D"/>
    <w:rsid w:val="00834B71"/>
    <w:rsid w:val="00841CBA"/>
    <w:rsid w:val="0086445C"/>
    <w:rsid w:val="00894693"/>
    <w:rsid w:val="008A08D7"/>
    <w:rsid w:val="008B6909"/>
    <w:rsid w:val="00906890"/>
    <w:rsid w:val="00911BE4"/>
    <w:rsid w:val="00935A0B"/>
    <w:rsid w:val="00951972"/>
    <w:rsid w:val="00953B31"/>
    <w:rsid w:val="009608F3"/>
    <w:rsid w:val="009D28EB"/>
    <w:rsid w:val="00A002CC"/>
    <w:rsid w:val="00A32382"/>
    <w:rsid w:val="00A44B2D"/>
    <w:rsid w:val="00A84021"/>
    <w:rsid w:val="00A86F80"/>
    <w:rsid w:val="00A90C2B"/>
    <w:rsid w:val="00A917B3"/>
    <w:rsid w:val="00AB4B51"/>
    <w:rsid w:val="00AE5F3B"/>
    <w:rsid w:val="00B10CC7"/>
    <w:rsid w:val="00B539E7"/>
    <w:rsid w:val="00B563EB"/>
    <w:rsid w:val="00B62458"/>
    <w:rsid w:val="00B80A93"/>
    <w:rsid w:val="00BD33EE"/>
    <w:rsid w:val="00BE4052"/>
    <w:rsid w:val="00BF2E5C"/>
    <w:rsid w:val="00C106D6"/>
    <w:rsid w:val="00C60F0C"/>
    <w:rsid w:val="00C805C9"/>
    <w:rsid w:val="00C92939"/>
    <w:rsid w:val="00CA1679"/>
    <w:rsid w:val="00CB151C"/>
    <w:rsid w:val="00CB242B"/>
    <w:rsid w:val="00CC2F16"/>
    <w:rsid w:val="00CE5A1A"/>
    <w:rsid w:val="00CF55F6"/>
    <w:rsid w:val="00D04407"/>
    <w:rsid w:val="00D33D63"/>
    <w:rsid w:val="00D428AC"/>
    <w:rsid w:val="00D4778E"/>
    <w:rsid w:val="00D6685A"/>
    <w:rsid w:val="00D82740"/>
    <w:rsid w:val="00D90138"/>
    <w:rsid w:val="00DE17EC"/>
    <w:rsid w:val="00E31CF9"/>
    <w:rsid w:val="00E56EE3"/>
    <w:rsid w:val="00E6615D"/>
    <w:rsid w:val="00E73F76"/>
    <w:rsid w:val="00E86371"/>
    <w:rsid w:val="00EA2C9F"/>
    <w:rsid w:val="00ED0BDA"/>
    <w:rsid w:val="00EE7654"/>
    <w:rsid w:val="00EF1360"/>
    <w:rsid w:val="00EF3220"/>
    <w:rsid w:val="00F63772"/>
    <w:rsid w:val="00F76A49"/>
    <w:rsid w:val="00F9377E"/>
    <w:rsid w:val="00F94155"/>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9697"/>
    <o:shapelayout v:ext="edit">
      <o:idmap v:ext="edit" data="1"/>
    </o:shapelayout>
  </w:shapeDefaults>
  <w:decimalSymbol w:val="."/>
  <w:listSeparator w:val=";"/>
  <w14:docId w14:val="00116F95"/>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02CC"/>
    <w:pPr>
      <w:spacing w:line="240" w:lineRule="atLeast"/>
    </w:pPr>
    <w:rPr>
      <w:rFonts w:eastAsiaTheme="minorEastAsia"/>
      <w:lang w:val="es-ES" w:eastAsia="es-ES"/>
    </w:rPr>
  </w:style>
  <w:style w:type="paragraph" w:styleId="Heading1">
    <w:name w:val="heading 1"/>
    <w:aliases w:val="Cuadro_G"/>
    <w:basedOn w:val="SingleTxtG"/>
    <w:next w:val="SingleTxtG"/>
    <w:link w:val="Heading1Char"/>
    <w:qFormat/>
    <w:rsid w:val="00A002CC"/>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Heading2">
    <w:name w:val="heading 2"/>
    <w:basedOn w:val="Normal"/>
    <w:next w:val="Normal"/>
    <w:semiHidden/>
    <w:rsid w:val="00A002CC"/>
    <w:pPr>
      <w:keepNext/>
      <w:outlineLvl w:val="1"/>
    </w:pPr>
    <w:rPr>
      <w:rFonts w:cs="Arial"/>
      <w:bCs/>
      <w:iCs/>
      <w:szCs w:val="28"/>
    </w:rPr>
  </w:style>
  <w:style w:type="paragraph" w:styleId="Heading3">
    <w:name w:val="heading 3"/>
    <w:basedOn w:val="Normal"/>
    <w:next w:val="Normal"/>
    <w:semiHidden/>
    <w:rsid w:val="00A002CC"/>
    <w:pPr>
      <w:keepNext/>
      <w:spacing w:before="240" w:after="60"/>
      <w:outlineLvl w:val="2"/>
    </w:pPr>
    <w:rPr>
      <w:rFonts w:ascii="Arial" w:hAnsi="Arial" w:cs="Arial"/>
      <w:b/>
      <w:bCs/>
      <w:sz w:val="26"/>
      <w:szCs w:val="26"/>
    </w:rPr>
  </w:style>
  <w:style w:type="paragraph" w:styleId="Heading4">
    <w:name w:val="heading 4"/>
    <w:basedOn w:val="Normal"/>
    <w:next w:val="Normal"/>
    <w:semiHidden/>
    <w:rsid w:val="00A002CC"/>
    <w:pPr>
      <w:keepNext/>
      <w:spacing w:before="240" w:after="60"/>
      <w:outlineLvl w:val="3"/>
    </w:pPr>
    <w:rPr>
      <w:b/>
      <w:bCs/>
      <w:sz w:val="28"/>
      <w:szCs w:val="28"/>
    </w:rPr>
  </w:style>
  <w:style w:type="paragraph" w:styleId="Heading5">
    <w:name w:val="heading 5"/>
    <w:basedOn w:val="Normal"/>
    <w:next w:val="Normal"/>
    <w:semiHidden/>
    <w:rsid w:val="00A002CC"/>
    <w:pPr>
      <w:spacing w:before="240" w:after="60"/>
      <w:outlineLvl w:val="4"/>
    </w:pPr>
    <w:rPr>
      <w:b/>
      <w:bCs/>
      <w:i/>
      <w:iCs/>
      <w:sz w:val="26"/>
      <w:szCs w:val="26"/>
    </w:rPr>
  </w:style>
  <w:style w:type="paragraph" w:styleId="Heading6">
    <w:name w:val="heading 6"/>
    <w:basedOn w:val="Normal"/>
    <w:next w:val="Normal"/>
    <w:semiHidden/>
    <w:rsid w:val="00A002CC"/>
    <w:pPr>
      <w:spacing w:before="240" w:after="60"/>
      <w:outlineLvl w:val="5"/>
    </w:pPr>
    <w:rPr>
      <w:b/>
      <w:bCs/>
      <w:sz w:val="22"/>
      <w:szCs w:val="22"/>
    </w:rPr>
  </w:style>
  <w:style w:type="paragraph" w:styleId="Heading7">
    <w:name w:val="heading 7"/>
    <w:basedOn w:val="Normal"/>
    <w:next w:val="Normal"/>
    <w:semiHidden/>
    <w:rsid w:val="00A002CC"/>
    <w:pPr>
      <w:spacing w:before="240" w:after="60"/>
      <w:outlineLvl w:val="6"/>
    </w:pPr>
    <w:rPr>
      <w:sz w:val="24"/>
      <w:szCs w:val="24"/>
    </w:rPr>
  </w:style>
  <w:style w:type="paragraph" w:styleId="Heading8">
    <w:name w:val="heading 8"/>
    <w:basedOn w:val="Normal"/>
    <w:next w:val="Normal"/>
    <w:semiHidden/>
    <w:rsid w:val="00A002CC"/>
    <w:pPr>
      <w:spacing w:before="240" w:after="60"/>
      <w:outlineLvl w:val="7"/>
    </w:pPr>
    <w:rPr>
      <w:i/>
      <w:iCs/>
      <w:sz w:val="24"/>
      <w:szCs w:val="24"/>
    </w:rPr>
  </w:style>
  <w:style w:type="paragraph" w:styleId="Heading9">
    <w:name w:val="heading 9"/>
    <w:basedOn w:val="Normal"/>
    <w:next w:val="Normal"/>
    <w:semiHidden/>
    <w:rsid w:val="00A002C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4_G"/>
    <w:qFormat/>
    <w:rsid w:val="00A002CC"/>
    <w:rPr>
      <w:rFonts w:ascii="Times New Roman" w:hAnsi="Times New Roman"/>
      <w:sz w:val="18"/>
      <w:vertAlign w:val="superscript"/>
    </w:rPr>
  </w:style>
  <w:style w:type="paragraph" w:customStyle="1" w:styleId="HMG">
    <w:name w:val="_ H __M_G"/>
    <w:basedOn w:val="Normal"/>
    <w:next w:val="Normal"/>
    <w:link w:val="HMGChar"/>
    <w:qFormat/>
    <w:rsid w:val="00A002CC"/>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A002CC"/>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A002CC"/>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A002CC"/>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A002CC"/>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A002CC"/>
    <w:pPr>
      <w:keepNext/>
      <w:keepLines/>
      <w:tabs>
        <w:tab w:val="right" w:pos="851"/>
      </w:tabs>
      <w:suppressAutoHyphens/>
      <w:spacing w:before="240" w:after="120" w:line="240" w:lineRule="exact"/>
      <w:ind w:left="1134" w:right="1134" w:hanging="1134"/>
    </w:pPr>
  </w:style>
  <w:style w:type="paragraph" w:styleId="Header">
    <w:name w:val="header"/>
    <w:aliases w:val="6_G"/>
    <w:basedOn w:val="Normal"/>
    <w:next w:val="Normal"/>
    <w:qFormat/>
    <w:rsid w:val="00A002CC"/>
    <w:pPr>
      <w:pBdr>
        <w:bottom w:val="single" w:sz="4" w:space="4" w:color="auto"/>
      </w:pBdr>
      <w:spacing w:line="240" w:lineRule="auto"/>
    </w:pPr>
    <w:rPr>
      <w:b/>
      <w:sz w:val="18"/>
    </w:rPr>
  </w:style>
  <w:style w:type="paragraph" w:customStyle="1" w:styleId="SingleTxtG">
    <w:name w:val="_ Single Txt_G"/>
    <w:basedOn w:val="Normal"/>
    <w:link w:val="SingleTxtGChar"/>
    <w:qFormat/>
    <w:rsid w:val="00A002CC"/>
    <w:pPr>
      <w:spacing w:after="120"/>
      <w:ind w:left="1134" w:right="1134"/>
      <w:jc w:val="both"/>
    </w:pPr>
  </w:style>
  <w:style w:type="paragraph" w:customStyle="1" w:styleId="SMG">
    <w:name w:val="__S_M_G"/>
    <w:basedOn w:val="Normal"/>
    <w:next w:val="Normal"/>
    <w:rsid w:val="00A002CC"/>
    <w:pPr>
      <w:keepNext/>
      <w:keepLines/>
      <w:suppressAutoHyphens/>
      <w:spacing w:before="240" w:after="240" w:line="420" w:lineRule="exact"/>
      <w:ind w:left="1134" w:right="1134"/>
    </w:pPr>
    <w:rPr>
      <w:b/>
      <w:sz w:val="40"/>
    </w:rPr>
  </w:style>
  <w:style w:type="paragraph" w:customStyle="1" w:styleId="SLG">
    <w:name w:val="__S_L_G"/>
    <w:basedOn w:val="Normal"/>
    <w:next w:val="Normal"/>
    <w:rsid w:val="00A002CC"/>
    <w:pPr>
      <w:keepNext/>
      <w:keepLines/>
      <w:spacing w:before="240" w:after="240" w:line="580" w:lineRule="exact"/>
      <w:ind w:left="1134" w:right="1134"/>
    </w:pPr>
    <w:rPr>
      <w:b/>
      <w:sz w:val="56"/>
    </w:rPr>
  </w:style>
  <w:style w:type="paragraph" w:customStyle="1" w:styleId="SSG">
    <w:name w:val="__S_S_G"/>
    <w:basedOn w:val="Normal"/>
    <w:next w:val="Normal"/>
    <w:rsid w:val="00A002CC"/>
    <w:pPr>
      <w:keepNext/>
      <w:keepLines/>
      <w:spacing w:before="240" w:after="240" w:line="300" w:lineRule="exact"/>
      <w:ind w:left="1134" w:right="1134"/>
    </w:pPr>
    <w:rPr>
      <w:b/>
      <w:sz w:val="28"/>
    </w:rPr>
  </w:style>
  <w:style w:type="paragraph" w:styleId="Footer">
    <w:name w:val="footer"/>
    <w:aliases w:val="3_G"/>
    <w:basedOn w:val="Normal"/>
    <w:next w:val="Normal"/>
    <w:qFormat/>
    <w:rsid w:val="00A002CC"/>
    <w:rPr>
      <w:sz w:val="16"/>
    </w:rPr>
  </w:style>
  <w:style w:type="paragraph" w:customStyle="1" w:styleId="XLargeG">
    <w:name w:val="__XLarge_G"/>
    <w:basedOn w:val="Normal"/>
    <w:next w:val="Normal"/>
    <w:rsid w:val="00A002CC"/>
    <w:pPr>
      <w:keepNext/>
      <w:keepLines/>
      <w:spacing w:before="240" w:after="240" w:line="420" w:lineRule="exact"/>
      <w:ind w:left="1134" w:right="1134"/>
    </w:pPr>
    <w:rPr>
      <w:b/>
      <w:sz w:val="40"/>
    </w:rPr>
  </w:style>
  <w:style w:type="paragraph" w:styleId="FootnoteText">
    <w:name w:val="footnote text"/>
    <w:aliases w:val="5_G"/>
    <w:basedOn w:val="Normal"/>
    <w:link w:val="FootnoteTextChar"/>
    <w:qFormat/>
    <w:rsid w:val="00A002CC"/>
    <w:pPr>
      <w:tabs>
        <w:tab w:val="right" w:pos="1021"/>
      </w:tabs>
      <w:spacing w:line="220" w:lineRule="exact"/>
      <w:ind w:left="1134" w:right="1134" w:hanging="1134"/>
    </w:pPr>
    <w:rPr>
      <w:sz w:val="18"/>
    </w:rPr>
  </w:style>
  <w:style w:type="table" w:styleId="TableGrid">
    <w:name w:val="Table Grid"/>
    <w:basedOn w:val="TableNormal"/>
    <w:rsid w:val="00A002CC"/>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semiHidden/>
    <w:rsid w:val="00A002CC"/>
    <w:pPr>
      <w:numPr>
        <w:numId w:val="3"/>
      </w:numPr>
    </w:pPr>
  </w:style>
  <w:style w:type="numbering" w:styleId="1ai">
    <w:name w:val="Outline List 1"/>
    <w:basedOn w:val="NoList"/>
    <w:semiHidden/>
    <w:rsid w:val="00A002CC"/>
    <w:pPr>
      <w:numPr>
        <w:numId w:val="4"/>
      </w:numPr>
    </w:pPr>
  </w:style>
  <w:style w:type="character" w:styleId="HTMLAcronym">
    <w:name w:val="HTML Acronym"/>
    <w:basedOn w:val="DefaultParagraphFont"/>
    <w:semiHidden/>
    <w:rsid w:val="00A002CC"/>
  </w:style>
  <w:style w:type="numbering" w:styleId="ArticleSection">
    <w:name w:val="Outline List 3"/>
    <w:basedOn w:val="NoList"/>
    <w:semiHidden/>
    <w:rsid w:val="00A002CC"/>
    <w:pPr>
      <w:numPr>
        <w:numId w:val="5"/>
      </w:numPr>
    </w:pPr>
  </w:style>
  <w:style w:type="paragraph" w:styleId="Closing">
    <w:name w:val="Closing"/>
    <w:basedOn w:val="Normal"/>
    <w:semiHidden/>
    <w:rsid w:val="00A002CC"/>
    <w:pPr>
      <w:ind w:left="4252"/>
    </w:pPr>
  </w:style>
  <w:style w:type="character" w:styleId="HTMLCite">
    <w:name w:val="HTML Cite"/>
    <w:semiHidden/>
    <w:rsid w:val="00A002CC"/>
    <w:rPr>
      <w:i/>
      <w:iCs/>
    </w:rPr>
  </w:style>
  <w:style w:type="character" w:styleId="HTMLCode">
    <w:name w:val="HTML Code"/>
    <w:semiHidden/>
    <w:rsid w:val="00A002CC"/>
    <w:rPr>
      <w:rFonts w:ascii="Courier New" w:hAnsi="Courier New" w:cs="Courier New"/>
      <w:sz w:val="20"/>
      <w:szCs w:val="20"/>
    </w:rPr>
  </w:style>
  <w:style w:type="paragraph" w:styleId="ListContinue">
    <w:name w:val="List Continue"/>
    <w:basedOn w:val="Normal"/>
    <w:semiHidden/>
    <w:rsid w:val="00A002CC"/>
    <w:pPr>
      <w:spacing w:after="120"/>
      <w:ind w:left="283"/>
    </w:pPr>
  </w:style>
  <w:style w:type="paragraph" w:styleId="ListContinue2">
    <w:name w:val="List Continue 2"/>
    <w:basedOn w:val="Normal"/>
    <w:semiHidden/>
    <w:rsid w:val="00A002CC"/>
    <w:pPr>
      <w:spacing w:after="120"/>
      <w:ind w:left="566"/>
    </w:pPr>
  </w:style>
  <w:style w:type="paragraph" w:styleId="ListContinue3">
    <w:name w:val="List Continue 3"/>
    <w:basedOn w:val="Normal"/>
    <w:semiHidden/>
    <w:rsid w:val="00A002CC"/>
    <w:pPr>
      <w:spacing w:after="120"/>
      <w:ind w:left="849"/>
    </w:pPr>
  </w:style>
  <w:style w:type="paragraph" w:styleId="ListContinue4">
    <w:name w:val="List Continue 4"/>
    <w:basedOn w:val="Normal"/>
    <w:semiHidden/>
    <w:rsid w:val="00A002CC"/>
    <w:pPr>
      <w:spacing w:after="120"/>
      <w:ind w:left="1132"/>
    </w:pPr>
  </w:style>
  <w:style w:type="paragraph" w:styleId="ListContinue5">
    <w:name w:val="List Continue 5"/>
    <w:basedOn w:val="Normal"/>
    <w:semiHidden/>
    <w:rsid w:val="00A002CC"/>
    <w:pPr>
      <w:spacing w:after="120"/>
      <w:ind w:left="1415"/>
    </w:pPr>
  </w:style>
  <w:style w:type="character" w:styleId="HTMLDefinition">
    <w:name w:val="HTML Definition"/>
    <w:semiHidden/>
    <w:rsid w:val="00A002CC"/>
    <w:rPr>
      <w:i/>
      <w:iCs/>
    </w:rPr>
  </w:style>
  <w:style w:type="paragraph" w:styleId="HTMLAddress">
    <w:name w:val="HTML Address"/>
    <w:basedOn w:val="Normal"/>
    <w:semiHidden/>
    <w:rsid w:val="00A002CC"/>
    <w:rPr>
      <w:i/>
      <w:iCs/>
    </w:rPr>
  </w:style>
  <w:style w:type="paragraph" w:styleId="EnvelopeAddress">
    <w:name w:val="envelope address"/>
    <w:basedOn w:val="Normal"/>
    <w:semiHidden/>
    <w:rsid w:val="00A002CC"/>
    <w:pPr>
      <w:framePr w:w="7920" w:h="1980" w:hRule="exact" w:hSpace="141" w:wrap="auto" w:hAnchor="page" w:xAlign="center" w:yAlign="bottom"/>
      <w:ind w:left="2880"/>
    </w:pPr>
    <w:rPr>
      <w:rFonts w:ascii="Arial" w:hAnsi="Arial" w:cs="Arial"/>
      <w:sz w:val="24"/>
      <w:szCs w:val="24"/>
    </w:rPr>
  </w:style>
  <w:style w:type="character" w:styleId="HTMLSample">
    <w:name w:val="HTML Sample"/>
    <w:semiHidden/>
    <w:rsid w:val="00A002CC"/>
    <w:rPr>
      <w:rFonts w:ascii="Courier New" w:hAnsi="Courier New" w:cs="Courier New"/>
    </w:rPr>
  </w:style>
  <w:style w:type="paragraph" w:styleId="MessageHeader">
    <w:name w:val="Message Header"/>
    <w:basedOn w:val="Normal"/>
    <w:semiHidden/>
    <w:rsid w:val="00A002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teHeading">
    <w:name w:val="Note Heading"/>
    <w:basedOn w:val="Normal"/>
    <w:next w:val="Normal"/>
    <w:semiHidden/>
    <w:rsid w:val="00A002CC"/>
  </w:style>
  <w:style w:type="character" w:styleId="Emphasis">
    <w:name w:val="Emphasis"/>
    <w:semiHidden/>
    <w:rsid w:val="00A002CC"/>
    <w:rPr>
      <w:i/>
      <w:iCs/>
    </w:rPr>
  </w:style>
  <w:style w:type="paragraph" w:styleId="Date">
    <w:name w:val="Date"/>
    <w:basedOn w:val="Normal"/>
    <w:next w:val="Normal"/>
    <w:semiHidden/>
    <w:rsid w:val="00A002CC"/>
  </w:style>
  <w:style w:type="paragraph" w:styleId="Signature">
    <w:name w:val="Signature"/>
    <w:basedOn w:val="Normal"/>
    <w:semiHidden/>
    <w:rsid w:val="00A002CC"/>
    <w:pPr>
      <w:ind w:left="4252"/>
    </w:pPr>
  </w:style>
  <w:style w:type="paragraph" w:styleId="E-mailSignature">
    <w:name w:val="E-mail Signature"/>
    <w:basedOn w:val="Normal"/>
    <w:semiHidden/>
    <w:rsid w:val="00A002CC"/>
  </w:style>
  <w:style w:type="character" w:styleId="Hyperlink">
    <w:name w:val="Hyperlink"/>
    <w:rsid w:val="00A002CC"/>
    <w:rPr>
      <w:color w:val="0000FF"/>
      <w:u w:val="none"/>
    </w:rPr>
  </w:style>
  <w:style w:type="character" w:styleId="FollowedHyperlink">
    <w:name w:val="FollowedHyperlink"/>
    <w:rsid w:val="00A002CC"/>
    <w:rPr>
      <w:color w:val="0000FF"/>
      <w:u w:val="none"/>
    </w:rPr>
  </w:style>
  <w:style w:type="paragraph" w:styleId="HTMLPreformatted">
    <w:name w:val="HTML Preformatted"/>
    <w:basedOn w:val="Normal"/>
    <w:semiHidden/>
    <w:rsid w:val="00A002CC"/>
    <w:rPr>
      <w:rFonts w:ascii="Courier New" w:hAnsi="Courier New" w:cs="Courier New"/>
    </w:rPr>
  </w:style>
  <w:style w:type="paragraph" w:styleId="List">
    <w:name w:val="List"/>
    <w:basedOn w:val="Normal"/>
    <w:semiHidden/>
    <w:rsid w:val="00A002CC"/>
    <w:pPr>
      <w:ind w:left="283" w:hanging="283"/>
    </w:pPr>
  </w:style>
  <w:style w:type="paragraph" w:styleId="List2">
    <w:name w:val="List 2"/>
    <w:basedOn w:val="Normal"/>
    <w:semiHidden/>
    <w:rsid w:val="00A002CC"/>
    <w:pPr>
      <w:ind w:left="566" w:hanging="283"/>
    </w:pPr>
  </w:style>
  <w:style w:type="paragraph" w:styleId="List3">
    <w:name w:val="List 3"/>
    <w:basedOn w:val="Normal"/>
    <w:semiHidden/>
    <w:rsid w:val="00A002CC"/>
    <w:pPr>
      <w:ind w:left="849" w:hanging="283"/>
    </w:pPr>
  </w:style>
  <w:style w:type="paragraph" w:styleId="List4">
    <w:name w:val="List 4"/>
    <w:basedOn w:val="Normal"/>
    <w:semiHidden/>
    <w:rsid w:val="00A002CC"/>
    <w:pPr>
      <w:ind w:left="1132" w:hanging="283"/>
    </w:pPr>
  </w:style>
  <w:style w:type="paragraph" w:styleId="List5">
    <w:name w:val="List 5"/>
    <w:basedOn w:val="Normal"/>
    <w:semiHidden/>
    <w:rsid w:val="00A002CC"/>
    <w:pPr>
      <w:ind w:left="1415" w:hanging="283"/>
    </w:pPr>
  </w:style>
  <w:style w:type="paragraph" w:styleId="ListNumber">
    <w:name w:val="List Number"/>
    <w:basedOn w:val="Normal"/>
    <w:semiHidden/>
    <w:rsid w:val="00A002CC"/>
    <w:pPr>
      <w:numPr>
        <w:numId w:val="42"/>
      </w:numPr>
    </w:pPr>
  </w:style>
  <w:style w:type="paragraph" w:styleId="ListNumber2">
    <w:name w:val="List Number 2"/>
    <w:basedOn w:val="Normal"/>
    <w:semiHidden/>
    <w:rsid w:val="00A002CC"/>
    <w:pPr>
      <w:numPr>
        <w:numId w:val="43"/>
      </w:numPr>
    </w:pPr>
  </w:style>
  <w:style w:type="paragraph" w:styleId="ListNumber3">
    <w:name w:val="List Number 3"/>
    <w:basedOn w:val="Normal"/>
    <w:semiHidden/>
    <w:rsid w:val="00A002CC"/>
    <w:pPr>
      <w:numPr>
        <w:numId w:val="44"/>
      </w:numPr>
    </w:pPr>
  </w:style>
  <w:style w:type="paragraph" w:styleId="ListNumber4">
    <w:name w:val="List Number 4"/>
    <w:basedOn w:val="Normal"/>
    <w:semiHidden/>
    <w:rsid w:val="00A002CC"/>
    <w:pPr>
      <w:numPr>
        <w:numId w:val="45"/>
      </w:numPr>
    </w:pPr>
  </w:style>
  <w:style w:type="paragraph" w:styleId="ListNumber5">
    <w:name w:val="List Number 5"/>
    <w:basedOn w:val="Normal"/>
    <w:semiHidden/>
    <w:rsid w:val="00A002CC"/>
    <w:pPr>
      <w:numPr>
        <w:numId w:val="46"/>
      </w:numPr>
    </w:pPr>
  </w:style>
  <w:style w:type="paragraph" w:styleId="ListBullet">
    <w:name w:val="List Bullet"/>
    <w:basedOn w:val="Normal"/>
    <w:semiHidden/>
    <w:rsid w:val="00A002CC"/>
    <w:pPr>
      <w:numPr>
        <w:numId w:val="37"/>
      </w:numPr>
    </w:pPr>
  </w:style>
  <w:style w:type="paragraph" w:styleId="ListBullet2">
    <w:name w:val="List Bullet 2"/>
    <w:basedOn w:val="Normal"/>
    <w:semiHidden/>
    <w:rsid w:val="00A002CC"/>
    <w:pPr>
      <w:numPr>
        <w:numId w:val="38"/>
      </w:numPr>
    </w:pPr>
  </w:style>
  <w:style w:type="paragraph" w:styleId="ListBullet3">
    <w:name w:val="List Bullet 3"/>
    <w:basedOn w:val="Normal"/>
    <w:semiHidden/>
    <w:rsid w:val="00A002CC"/>
    <w:pPr>
      <w:numPr>
        <w:numId w:val="39"/>
      </w:numPr>
    </w:pPr>
  </w:style>
  <w:style w:type="paragraph" w:styleId="ListBullet4">
    <w:name w:val="List Bullet 4"/>
    <w:basedOn w:val="Normal"/>
    <w:semiHidden/>
    <w:rsid w:val="00A002CC"/>
    <w:pPr>
      <w:numPr>
        <w:numId w:val="40"/>
      </w:numPr>
    </w:pPr>
  </w:style>
  <w:style w:type="paragraph" w:styleId="ListBullet5">
    <w:name w:val="List Bullet 5"/>
    <w:basedOn w:val="Normal"/>
    <w:semiHidden/>
    <w:rsid w:val="00A002CC"/>
    <w:pPr>
      <w:numPr>
        <w:numId w:val="41"/>
      </w:numPr>
    </w:pPr>
  </w:style>
  <w:style w:type="character" w:styleId="HTMLTypewriter">
    <w:name w:val="HTML Typewriter"/>
    <w:semiHidden/>
    <w:rsid w:val="00A002CC"/>
    <w:rPr>
      <w:rFonts w:ascii="Courier New" w:hAnsi="Courier New" w:cs="Courier New"/>
      <w:sz w:val="20"/>
      <w:szCs w:val="20"/>
    </w:rPr>
  </w:style>
  <w:style w:type="paragraph" w:styleId="NormalWeb">
    <w:name w:val="Normal (Web)"/>
    <w:basedOn w:val="Normal"/>
    <w:semiHidden/>
    <w:rsid w:val="00A002CC"/>
    <w:rPr>
      <w:sz w:val="24"/>
      <w:szCs w:val="24"/>
    </w:rPr>
  </w:style>
  <w:style w:type="character" w:styleId="LineNumber">
    <w:name w:val="line number"/>
    <w:basedOn w:val="DefaultParagraphFont"/>
    <w:semiHidden/>
    <w:rsid w:val="00A002CC"/>
  </w:style>
  <w:style w:type="character" w:styleId="PageNumber">
    <w:name w:val="page number"/>
    <w:aliases w:val="7_G"/>
    <w:qFormat/>
    <w:rsid w:val="00A002CC"/>
    <w:rPr>
      <w:b/>
      <w:sz w:val="18"/>
    </w:rPr>
  </w:style>
  <w:style w:type="character" w:styleId="EndnoteReference">
    <w:name w:val="endnote reference"/>
    <w:aliases w:val="1_G"/>
    <w:qFormat/>
    <w:rsid w:val="00A002CC"/>
    <w:rPr>
      <w:rFonts w:ascii="Times New Roman" w:hAnsi="Times New Roman"/>
      <w:sz w:val="18"/>
      <w:vertAlign w:val="superscript"/>
    </w:rPr>
  </w:style>
  <w:style w:type="paragraph" w:styleId="EnvelopeReturn">
    <w:name w:val="envelope return"/>
    <w:basedOn w:val="Normal"/>
    <w:semiHidden/>
    <w:rsid w:val="00A002CC"/>
    <w:rPr>
      <w:rFonts w:ascii="Arial" w:hAnsi="Arial" w:cs="Arial"/>
    </w:rPr>
  </w:style>
  <w:style w:type="paragraph" w:styleId="Salutation">
    <w:name w:val="Salutation"/>
    <w:basedOn w:val="Normal"/>
    <w:next w:val="Normal"/>
    <w:semiHidden/>
    <w:rsid w:val="00A002CC"/>
  </w:style>
  <w:style w:type="paragraph" w:styleId="BodyTextIndent2">
    <w:name w:val="Body Text Indent 2"/>
    <w:basedOn w:val="Normal"/>
    <w:semiHidden/>
    <w:rsid w:val="00A002CC"/>
    <w:pPr>
      <w:spacing w:after="120" w:line="480" w:lineRule="auto"/>
      <w:ind w:left="283"/>
    </w:pPr>
  </w:style>
  <w:style w:type="paragraph" w:styleId="BodyTextIndent3">
    <w:name w:val="Body Text Indent 3"/>
    <w:basedOn w:val="Normal"/>
    <w:semiHidden/>
    <w:rsid w:val="00A002CC"/>
    <w:pPr>
      <w:spacing w:after="120"/>
      <w:ind w:left="283"/>
    </w:pPr>
    <w:rPr>
      <w:sz w:val="16"/>
      <w:szCs w:val="16"/>
    </w:rPr>
  </w:style>
  <w:style w:type="paragraph" w:styleId="BodyTextIndent">
    <w:name w:val="Body Text Indent"/>
    <w:basedOn w:val="Normal"/>
    <w:semiHidden/>
    <w:rsid w:val="00A002CC"/>
    <w:pPr>
      <w:spacing w:after="120"/>
      <w:ind w:left="283"/>
    </w:pPr>
  </w:style>
  <w:style w:type="paragraph" w:styleId="NormalIndent">
    <w:name w:val="Normal Indent"/>
    <w:basedOn w:val="Normal"/>
    <w:semiHidden/>
    <w:rsid w:val="00A002CC"/>
    <w:pPr>
      <w:ind w:left="567"/>
    </w:pPr>
  </w:style>
  <w:style w:type="paragraph" w:styleId="Subtitle">
    <w:name w:val="Subtitle"/>
    <w:basedOn w:val="Normal"/>
    <w:semiHidden/>
    <w:rsid w:val="00A002CC"/>
    <w:pPr>
      <w:spacing w:after="60"/>
      <w:jc w:val="center"/>
      <w:outlineLvl w:val="1"/>
    </w:pPr>
    <w:rPr>
      <w:rFonts w:ascii="Arial" w:hAnsi="Arial" w:cs="Arial"/>
      <w:sz w:val="24"/>
      <w:szCs w:val="24"/>
    </w:rPr>
  </w:style>
  <w:style w:type="table" w:styleId="TableSimple1">
    <w:name w:val="Table Simple 1"/>
    <w:basedOn w:val="TableNormal"/>
    <w:semiHidden/>
    <w:rsid w:val="00A002CC"/>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002CC"/>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002CC"/>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rsid w:val="00A002CC"/>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002CC"/>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002CC"/>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002CC"/>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umns1">
    <w:name w:val="Table Columns 1"/>
    <w:basedOn w:val="TableNormal"/>
    <w:semiHidden/>
    <w:rsid w:val="00A002CC"/>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002CC"/>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002CC"/>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002CC"/>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002CC"/>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rsid w:val="00A002CC"/>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002CC"/>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002CC"/>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002CC"/>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002CC"/>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002CC"/>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002CC"/>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002CC"/>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3Deffects1">
    <w:name w:val="Table 3D effects 1"/>
    <w:basedOn w:val="TableNormal"/>
    <w:semiHidden/>
    <w:rsid w:val="00A002CC"/>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002CC"/>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002CC"/>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Normal"/>
    <w:semiHidden/>
    <w:rsid w:val="00A002CC"/>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002CC"/>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002CC"/>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002CC"/>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002CC"/>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002CC"/>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002CC"/>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002CC"/>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Theme">
    <w:name w:val="Table Theme"/>
    <w:basedOn w:val="TableNormal"/>
    <w:semiHidden/>
    <w:rsid w:val="00A002CC"/>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semiHidden/>
    <w:rsid w:val="00A002CC"/>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semiHidden/>
    <w:rsid w:val="00A002CC"/>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semiHidden/>
    <w:rsid w:val="00A002CC"/>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002CC"/>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002CC"/>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orful1">
    <w:name w:val="Table Colorful 1"/>
    <w:basedOn w:val="TableNormal"/>
    <w:semiHidden/>
    <w:rsid w:val="00A002CC"/>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002CC"/>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002CC"/>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semiHidden/>
    <w:rsid w:val="00A002CC"/>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002CC"/>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002CC"/>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HTMLKeyboard">
    <w:name w:val="HTML Keyboard"/>
    <w:semiHidden/>
    <w:rsid w:val="00A002CC"/>
    <w:rPr>
      <w:rFonts w:ascii="Courier New" w:hAnsi="Courier New" w:cs="Courier New"/>
      <w:sz w:val="20"/>
      <w:szCs w:val="20"/>
    </w:rPr>
  </w:style>
  <w:style w:type="paragraph" w:styleId="BlockText">
    <w:name w:val="Block Text"/>
    <w:basedOn w:val="Normal"/>
    <w:semiHidden/>
    <w:rsid w:val="00A002CC"/>
    <w:pPr>
      <w:spacing w:after="120"/>
      <w:ind w:left="1440" w:right="1440"/>
    </w:pPr>
  </w:style>
  <w:style w:type="character" w:styleId="Strong">
    <w:name w:val="Strong"/>
    <w:rsid w:val="00A002CC"/>
    <w:rPr>
      <w:b/>
      <w:bCs/>
    </w:rPr>
  </w:style>
  <w:style w:type="paragraph" w:styleId="BodyText">
    <w:name w:val="Body Text"/>
    <w:basedOn w:val="Normal"/>
    <w:semiHidden/>
    <w:rsid w:val="00A002CC"/>
    <w:pPr>
      <w:spacing w:after="120"/>
    </w:pPr>
  </w:style>
  <w:style w:type="paragraph" w:styleId="BodyText2">
    <w:name w:val="Body Text 2"/>
    <w:basedOn w:val="Normal"/>
    <w:semiHidden/>
    <w:rsid w:val="00A002CC"/>
    <w:pPr>
      <w:spacing w:after="120" w:line="480" w:lineRule="auto"/>
    </w:pPr>
  </w:style>
  <w:style w:type="paragraph" w:styleId="BodyText3">
    <w:name w:val="Body Text 3"/>
    <w:basedOn w:val="Normal"/>
    <w:semiHidden/>
    <w:rsid w:val="00A002CC"/>
    <w:pPr>
      <w:spacing w:after="120"/>
    </w:pPr>
    <w:rPr>
      <w:sz w:val="16"/>
      <w:szCs w:val="16"/>
    </w:rPr>
  </w:style>
  <w:style w:type="paragraph" w:styleId="BodyTextFirstIndent">
    <w:name w:val="Body Text First Indent"/>
    <w:basedOn w:val="BodyText"/>
    <w:semiHidden/>
    <w:rsid w:val="00A002CC"/>
    <w:pPr>
      <w:ind w:firstLine="210"/>
    </w:pPr>
  </w:style>
  <w:style w:type="paragraph" w:styleId="BodyTextFirstIndent2">
    <w:name w:val="Body Text First Indent 2"/>
    <w:basedOn w:val="BodyTextIndent"/>
    <w:semiHidden/>
    <w:rsid w:val="00A002CC"/>
    <w:pPr>
      <w:ind w:firstLine="210"/>
    </w:pPr>
  </w:style>
  <w:style w:type="paragraph" w:styleId="EndnoteText">
    <w:name w:val="endnote text"/>
    <w:aliases w:val="2_G"/>
    <w:basedOn w:val="FootnoteText"/>
    <w:link w:val="EndnoteTextChar"/>
    <w:qFormat/>
    <w:rsid w:val="00A002CC"/>
  </w:style>
  <w:style w:type="paragraph" w:styleId="PlainText">
    <w:name w:val="Plain Text"/>
    <w:basedOn w:val="Normal"/>
    <w:semiHidden/>
    <w:rsid w:val="00A002CC"/>
    <w:rPr>
      <w:rFonts w:ascii="Courier New" w:hAnsi="Courier New" w:cs="Courier New"/>
    </w:rPr>
  </w:style>
  <w:style w:type="paragraph" w:styleId="Title">
    <w:name w:val="Title"/>
    <w:basedOn w:val="Normal"/>
    <w:semiHidden/>
    <w:rsid w:val="00A002CC"/>
    <w:pPr>
      <w:spacing w:before="240" w:after="60"/>
      <w:jc w:val="center"/>
      <w:outlineLvl w:val="0"/>
    </w:pPr>
    <w:rPr>
      <w:rFonts w:ascii="Arial" w:hAnsi="Arial" w:cs="Arial"/>
      <w:b/>
      <w:bCs/>
      <w:kern w:val="28"/>
      <w:sz w:val="32"/>
      <w:szCs w:val="32"/>
    </w:rPr>
  </w:style>
  <w:style w:type="character" w:styleId="HTMLVariable">
    <w:name w:val="HTML Variable"/>
    <w:semiHidden/>
    <w:rsid w:val="00A002CC"/>
    <w:rPr>
      <w:i/>
      <w:iCs/>
    </w:rPr>
  </w:style>
  <w:style w:type="paragraph" w:customStyle="1" w:styleId="Bullet1G">
    <w:name w:val="_Bullet 1_G"/>
    <w:basedOn w:val="Normal"/>
    <w:qFormat/>
    <w:rsid w:val="00A002CC"/>
    <w:pPr>
      <w:numPr>
        <w:numId w:val="32"/>
      </w:numPr>
      <w:spacing w:after="120"/>
      <w:ind w:right="1134"/>
      <w:jc w:val="both"/>
    </w:pPr>
    <w:rPr>
      <w:lang w:eastAsia="en-US"/>
    </w:rPr>
  </w:style>
  <w:style w:type="paragraph" w:customStyle="1" w:styleId="Bullet2G">
    <w:name w:val="_Bullet 2_G"/>
    <w:basedOn w:val="Normal"/>
    <w:qFormat/>
    <w:rsid w:val="00A002CC"/>
    <w:pPr>
      <w:numPr>
        <w:numId w:val="33"/>
      </w:numPr>
      <w:spacing w:after="120"/>
      <w:ind w:right="1134"/>
      <w:jc w:val="both"/>
    </w:pPr>
  </w:style>
  <w:style w:type="paragraph" w:styleId="BalloonText">
    <w:name w:val="Balloon Text"/>
    <w:basedOn w:val="Normal"/>
    <w:link w:val="BalloonTextChar"/>
    <w:semiHidden/>
    <w:rsid w:val="00A44B2D"/>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521DC1"/>
    <w:rPr>
      <w:rFonts w:ascii="Tahoma" w:hAnsi="Tahoma" w:cs="Tahoma"/>
      <w:sz w:val="16"/>
      <w:szCs w:val="16"/>
      <w:lang w:val="es-ES" w:eastAsia="es-ES"/>
    </w:rPr>
  </w:style>
  <w:style w:type="paragraph" w:styleId="IntenseQuote">
    <w:name w:val="Intense Quote"/>
    <w:basedOn w:val="Normal"/>
    <w:next w:val="Normal"/>
    <w:link w:val="IntenseQuoteChar"/>
    <w:uiPriority w:val="30"/>
    <w:semiHidden/>
    <w:rsid w:val="00A002C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A002CC"/>
    <w:rPr>
      <w:rFonts w:eastAsiaTheme="minorEastAsia"/>
      <w:b/>
      <w:bCs/>
      <w:i/>
      <w:iCs/>
      <w:color w:val="4F81BD"/>
      <w:lang w:val="es-ES" w:eastAsia="es-ES"/>
    </w:rPr>
  </w:style>
  <w:style w:type="character" w:styleId="IntenseEmphasis">
    <w:name w:val="Intense Emphasis"/>
    <w:uiPriority w:val="21"/>
    <w:semiHidden/>
    <w:rsid w:val="00A002CC"/>
    <w:rPr>
      <w:b/>
      <w:bCs/>
      <w:i/>
      <w:iCs/>
      <w:color w:val="4F81BD"/>
    </w:rPr>
  </w:style>
  <w:style w:type="character" w:customStyle="1" w:styleId="Heading1Char">
    <w:name w:val="Heading 1 Char"/>
    <w:aliases w:val="Cuadro_G Char"/>
    <w:basedOn w:val="DefaultParagraphFont"/>
    <w:link w:val="Heading1"/>
    <w:rsid w:val="00A002CC"/>
    <w:rPr>
      <w:rFonts w:eastAsiaTheme="minorEastAsia"/>
      <w:lang w:val="fr-CH" w:eastAsia="en-US"/>
    </w:rPr>
  </w:style>
  <w:style w:type="table" w:customStyle="1" w:styleId="Tablaconcuadrcula1">
    <w:name w:val="Tabla con cuadrícula1"/>
    <w:basedOn w:val="Table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EndnoteTextChar">
    <w:name w:val="Endnote Text Char"/>
    <w:aliases w:val="2_G Char"/>
    <w:link w:val="EndnoteText"/>
    <w:rsid w:val="005F0642"/>
    <w:rPr>
      <w:rFonts w:eastAsiaTheme="minorEastAsia"/>
      <w:sz w:val="18"/>
      <w:lang w:val="es-ES" w:eastAsia="es-ES"/>
    </w:rPr>
  </w:style>
  <w:style w:type="character" w:customStyle="1" w:styleId="FootnoteTextChar">
    <w:name w:val="Footnote Text Char"/>
    <w:aliases w:val="5_G Char"/>
    <w:basedOn w:val="DefaultParagraphFont"/>
    <w:link w:val="FootnoteText"/>
    <w:rsid w:val="00BE4052"/>
    <w:rPr>
      <w:rFonts w:eastAsiaTheme="minorEastAsia"/>
      <w:sz w:val="18"/>
      <w:lang w:val="es-ES" w:eastAsia="es-ES"/>
    </w:rPr>
  </w:style>
  <w:style w:type="character" w:customStyle="1" w:styleId="SingleTxtGChar">
    <w:name w:val="_ Single Txt_G Char"/>
    <w:link w:val="SingleTxtG"/>
    <w:rsid w:val="00BE4052"/>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DED6B-E079-4F35-A8D2-50883B49F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1103</Words>
  <Characters>6070</Characters>
  <Application>Microsoft Office Word</Application>
  <DocSecurity>0</DocSecurity>
  <Lines>50</Lines>
  <Paragraphs>14</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CAT/C/XXX/Y</vt:lpstr>
      <vt:lpstr>CAT/C/XXX/Y</vt:lpstr>
    </vt:vector>
  </TitlesOfParts>
  <Company>DCM</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5</cp:revision>
  <cp:lastPrinted>2013-10-24T10:25:00Z</cp:lastPrinted>
  <dcterms:created xsi:type="dcterms:W3CDTF">2018-04-04T12:07:00Z</dcterms:created>
  <dcterms:modified xsi:type="dcterms:W3CDTF">2018-04-04T13:07:00Z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y fmtid="{D5CDD505-2E9C-101B-9397-08002B2CF9AE}" pid="23" name="preps">
    <vt:lpwstr>preps</vt:lpwstr>
  </property>
  <property fmtid="{D5CDD505-2E9C-101B-9397-08002B2CF9AE}" pid="24" name="prepws">
    <vt:lpwstr>prepws</vt:lpwstr>
  </property>
</Properties>
</file>