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p w:rsidR="00F81B10" w:rsidP="003953FF"/>
    <w:p w:rsidR="00A52BC6" w:rsidP="003953FF"/>
    <w:tbl>
      <w:tblPr>
        <w:tblW w:w="7370" w:type="dxa"/>
        <w:tblInd w:w="2268" w:type="dxa"/>
        <w:tblCellMar>
          <w:left w:w="0" w:type="dxa"/>
          <w:right w:w="0" w:type="dxa"/>
        </w:tblCellMar>
        <w:tblLook w:val="0000"/>
      </w:tblPr>
      <w:tblGrid>
        <w:gridCol w:w="1218"/>
        <w:gridCol w:w="1605"/>
        <w:gridCol w:w="1605"/>
        <w:gridCol w:w="1247"/>
      </w:tblGrid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rPr>
          <w:tblHeader/>
        </w:trPr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rPr>
                <w:i/>
                <w:sz w:val="14"/>
                <w:szCs w:val="14"/>
              </w:rPr>
            </w:pPr>
          </w:p>
        </w:tc>
        <w:tc>
          <w:tcPr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jc w:val="center"/>
              <w:rPr>
                <w:i/>
                <w:sz w:val="14"/>
                <w:szCs w:val="14"/>
              </w:rPr>
            </w:pPr>
            <w:r w:rsidRPr="00752500">
              <w:rPr>
                <w:i/>
                <w:sz w:val="14"/>
                <w:szCs w:val="14"/>
              </w:rPr>
              <w:t>Unidades monetarias</w:t>
            </w:r>
            <w:r>
              <w:rPr>
                <w:i/>
                <w:sz w:val="14"/>
                <w:szCs w:val="14"/>
              </w:rPr>
              <w:t xml:space="preserve"> por dólar</w:t>
            </w:r>
            <w:r>
              <w:rPr>
                <w:i/>
                <w:sz w:val="14"/>
                <w:szCs w:val="14"/>
              </w:rPr>
              <w:br/>
            </w:r>
            <w:r w:rsidRPr="00752500">
              <w:rPr>
                <w:i/>
                <w:sz w:val="14"/>
                <w:szCs w:val="14"/>
              </w:rPr>
              <w:t xml:space="preserve"> </w:t>
            </w:r>
            <w:r>
              <w:rPr>
                <w:i/>
                <w:sz w:val="14"/>
                <w:szCs w:val="14"/>
              </w:rPr>
              <w:t>d</w:t>
            </w:r>
            <w:r w:rsidRPr="00752500">
              <w:rPr>
                <w:i/>
                <w:sz w:val="14"/>
                <w:szCs w:val="14"/>
              </w:rPr>
              <w:t>e los Estados Unidos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jc w:val="right"/>
              <w:rPr>
                <w:i/>
                <w:sz w:val="14"/>
              </w:rPr>
            </w:pP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rPr>
          <w:tblHeader/>
        </w:trPr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rPr>
                <w:i/>
                <w:sz w:val="14"/>
              </w:rPr>
            </w:pPr>
            <w:r w:rsidRPr="00752500">
              <w:rPr>
                <w:i/>
                <w:sz w:val="14"/>
                <w:szCs w:val="14"/>
              </w:rPr>
              <w:t>Moneda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31 de diciembre de 2009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31 de diciembre de 2008</w:t>
            </w:r>
          </w:p>
        </w:tc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0" w:after="80" w:line="160" w:lineRule="exact"/>
              <w:ind w:right="43"/>
              <w:jc w:val="right"/>
              <w:rPr>
                <w:i/>
                <w:sz w:val="14"/>
              </w:rPr>
            </w:pPr>
            <w:r>
              <w:rPr>
                <w:i/>
                <w:sz w:val="14"/>
              </w:rPr>
              <w:t>Variación porcentual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rPr>
          <w:trHeight w:hRule="exact" w:val="115"/>
          <w:tblHeader/>
        </w:trPr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sz w:val="17"/>
              </w:rPr>
            </w:pPr>
          </w:p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sz w:val="17"/>
              </w:rPr>
            </w:pPr>
          </w:p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sz w:val="17"/>
              </w:rPr>
            </w:pPr>
          </w:p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 w:rsidR="00A52BC6" w:rsidRPr="0075250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sz w:val="17"/>
              </w:rPr>
            </w:pP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Dólar australiano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112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437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-22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Dólar canadiense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038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219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-14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8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Corona danesa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5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15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5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211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2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Yen japonés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91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7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90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3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Corona noruega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5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77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6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949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-17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0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Corona sueca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7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17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7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69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-6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8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Franco suizo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03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046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-1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5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Libra esterlina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625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684</w:t>
            </w:r>
          </w:p>
        </w:tc>
        <w:tc>
          <w:tcPr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40" w:line="210" w:lineRule="exact"/>
              <w:ind w:right="40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-8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  <w:tr w:rsidTr="00A52BC6">
        <w:tblPrEx>
          <w:tblW w:w="7370" w:type="dxa"/>
          <w:tblInd w:w="226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0" w:line="210" w:lineRule="exact"/>
              <w:ind w:right="43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Euro</w:t>
            </w:r>
          </w:p>
        </w:tc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0" w:line="210" w:lineRule="exact"/>
              <w:ind w:right="43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693</w:t>
            </w:r>
          </w:p>
        </w:tc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0" w:line="210" w:lineRule="exact"/>
              <w:ind w:right="43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699</w:t>
            </w:r>
          </w:p>
        </w:tc>
        <w:tc>
          <w:tcPr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A52BC6" w:rsidRPr="0015781B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0" w:line="210" w:lineRule="exact"/>
              <w:ind w:right="43"/>
              <w:jc w:val="right"/>
              <w:rPr>
                <w:color w:val="000000"/>
                <w:sz w:val="17"/>
              </w:rPr>
            </w:pPr>
            <w:r w:rsidRPr="0015781B">
              <w:rPr>
                <w:color w:val="000000"/>
                <w:sz w:val="17"/>
              </w:rPr>
              <w:t>-0</w:t>
            </w:r>
            <w:r>
              <w:rPr>
                <w:color w:val="000000"/>
                <w:sz w:val="17"/>
              </w:rPr>
              <w:t>,</w:t>
            </w:r>
            <w:r w:rsidRPr="0015781B">
              <w:rPr>
                <w:color w:val="000000"/>
                <w:sz w:val="17"/>
              </w:rPr>
              <w:t>9</w:t>
            </w:r>
            <w:r>
              <w:rPr>
                <w:color w:val="000000"/>
                <w:sz w:val="17"/>
              </w:rPr>
              <w:t xml:space="preserve"> </w:t>
            </w:r>
          </w:p>
        </w:tc>
      </w:tr>
    </w:tbl>
    <w:p w:rsidR="00A52BC6" w:rsidP="003953FF"/>
    <w:p w:rsidR="00A52BC6" w:rsidP="003953FF"/>
    <w:tbl>
      <w:tblPr>
        <w:tblW w:w="9638" w:type="dxa"/>
        <w:tblInd w:w="3828" w:type="dxa"/>
        <w:tblCellMar>
          <w:left w:w="0" w:type="dxa"/>
          <w:right w:w="0" w:type="dxa"/>
        </w:tblCellMar>
        <w:tblLook w:val="0000"/>
      </w:tblPr>
      <w:tblGrid>
        <w:gridCol w:w="2843"/>
        <w:gridCol w:w="990"/>
        <w:gridCol w:w="987"/>
        <w:gridCol w:w="990"/>
      </w:tblGrid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rPr>
          <w:tblHeader/>
        </w:trPr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80" w:after="80" w:line="160" w:lineRule="exact"/>
              <w:ind w:right="43"/>
              <w:rPr>
                <w:i/>
                <w:sz w:val="14"/>
              </w:rPr>
            </w:pPr>
            <w:r w:rsidRPr="008C0A91">
              <w:rPr>
                <w:i/>
                <w:sz w:val="14"/>
              </w:rPr>
              <w:t>Fondo del Programa Anual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80" w:after="80" w:line="160" w:lineRule="exact"/>
              <w:ind w:right="40"/>
              <w:jc w:val="right"/>
              <w:rPr>
                <w:i/>
                <w:sz w:val="14"/>
              </w:rPr>
            </w:pPr>
            <w:r w:rsidRPr="008C0A91">
              <w:rPr>
                <w:i/>
                <w:sz w:val="14"/>
              </w:rPr>
              <w:t>En efectivo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80" w:after="80" w:line="160" w:lineRule="exact"/>
              <w:ind w:right="40"/>
              <w:jc w:val="right"/>
              <w:rPr>
                <w:i/>
                <w:sz w:val="14"/>
              </w:rPr>
            </w:pPr>
            <w:r w:rsidRPr="008C0A91">
              <w:rPr>
                <w:i/>
                <w:sz w:val="14"/>
              </w:rPr>
              <w:t>En especie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80" w:after="80" w:line="160" w:lineRule="exact"/>
              <w:ind w:right="40"/>
              <w:jc w:val="right"/>
              <w:rPr>
                <w:i/>
                <w:sz w:val="14"/>
              </w:rPr>
            </w:pPr>
            <w:r w:rsidRPr="008C0A91">
              <w:rPr>
                <w:i/>
                <w:sz w:val="14"/>
              </w:rPr>
              <w:t xml:space="preserve">Total 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rPr>
          <w:trHeight w:hRule="exact" w:val="115"/>
          <w:tblHeader/>
        </w:trPr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40" w:after="40" w:line="210" w:lineRule="exact"/>
              <w:ind w:right="40"/>
              <w:rPr>
                <w:sz w:val="17"/>
              </w:rPr>
            </w:pPr>
          </w:p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40" w:after="40" w:line="210" w:lineRule="exact"/>
              <w:ind w:right="40"/>
              <w:jc w:val="right"/>
              <w:rPr>
                <w:sz w:val="17"/>
              </w:rPr>
            </w:pPr>
          </w:p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40" w:after="40" w:line="210" w:lineRule="exact"/>
              <w:ind w:right="40"/>
              <w:jc w:val="right"/>
              <w:rPr>
                <w:sz w:val="17"/>
              </w:rPr>
            </w:pPr>
          </w:p>
        </w:tc>
        <w:tc>
          <w:tcPr>
            <w:tcBorders>
              <w:top w:val="single" w:sz="12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spacing w:before="40" w:after="40" w:line="210" w:lineRule="exact"/>
              <w:ind w:right="40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40" w:line="210" w:lineRule="exact"/>
              <w:ind w:left="346" w:right="43" w:hanging="346"/>
              <w:rPr>
                <w:b/>
                <w:i/>
                <w:sz w:val="17"/>
              </w:rPr>
            </w:pPr>
            <w:r>
              <w:br w:type="page"/>
            </w:r>
            <w:r w:rsidRPr="00E24B68">
              <w:rPr>
                <w:b/>
                <w:i/>
                <w:sz w:val="17"/>
              </w:rPr>
              <w:t>Operaciones sobre el terreno</w:t>
            </w:r>
          </w:p>
        </w:tc>
        <w:tc>
          <w:tcPr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40" w:line="210" w:lineRule="exact"/>
              <w:ind w:left="346" w:right="43" w:hanging="346"/>
              <w:jc w:val="right"/>
              <w:rPr>
                <w:b/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40" w:line="210" w:lineRule="exact"/>
              <w:ind w:left="346" w:right="43" w:hanging="346"/>
              <w:jc w:val="right"/>
              <w:rPr>
                <w:b/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40" w:line="210" w:lineRule="exact"/>
              <w:ind w:left="346" w:right="43" w:hanging="346"/>
              <w:jc w:val="right"/>
              <w:rPr>
                <w:b/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1" w:line="210" w:lineRule="exact"/>
              <w:ind w:left="346" w:right="43" w:hanging="346"/>
              <w:rPr>
                <w:i/>
                <w:sz w:val="17"/>
              </w:rPr>
            </w:pPr>
            <w:r w:rsidRPr="008C0A91">
              <w:rPr>
                <w:b/>
                <w:i/>
                <w:sz w:val="17"/>
              </w:rPr>
              <w:t>África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1" w:line="210" w:lineRule="exact"/>
              <w:ind w:left="346" w:right="43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1" w:line="210" w:lineRule="exact"/>
              <w:ind w:left="346" w:right="43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40" w:after="81" w:line="210" w:lineRule="exact"/>
              <w:ind w:left="346" w:right="43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54 784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54 784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8C0A91">
              <w:rPr>
                <w:b/>
                <w:i/>
                <w:sz w:val="17"/>
              </w:rPr>
              <w:t>África occidental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 w:rsidRPr="008C0A91">
              <w:rPr>
                <w:sz w:val="17"/>
              </w:rPr>
              <w:t>África occidental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625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625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Côte d'Ivoire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709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709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Ghana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112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112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Guinea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259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259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Liberia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431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431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7349E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noProof/>
                <w:sz w:val="17"/>
              </w:rPr>
            </w:pPr>
            <w:bookmarkStart w:id="0" w:name="_GoBack"/>
          </w:p>
        </w:tc>
        <w:tc>
          <w:tcPr>
            <w:shd w:val="clear" w:color="auto" w:fill="auto"/>
            <w:vAlign w:val="bottom"/>
          </w:tcPr>
          <w:p w:rsidR="007349E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7349EF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7349E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bookmarkEnd w:id="0"/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Nigeria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Senegal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100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Sierra Leo</w:t>
            </w:r>
            <w:r>
              <w:rPr>
                <w:noProof/>
                <w:sz w:val="17"/>
              </w:rPr>
              <w:t>na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767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767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occidental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20 012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20 012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8C0A91">
              <w:rPr>
                <w:b/>
                <w:i/>
                <w:sz w:val="17"/>
              </w:rPr>
              <w:t>África oriental y Cuerno de África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África oriental y Cuerno de África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16 </w:t>
            </w:r>
            <w:r w:rsidRPr="008C0A91">
              <w:rPr>
                <w:sz w:val="17"/>
              </w:rPr>
              <w:t>300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16 </w:t>
            </w:r>
            <w:r w:rsidRPr="008C0A91">
              <w:rPr>
                <w:sz w:val="17"/>
              </w:rPr>
              <w:t>300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Otros países de África oriental y Cuerno de África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Djibouti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543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543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Eritrea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</w:t>
            </w:r>
            <w:r>
              <w:rPr>
                <w:sz w:val="17"/>
              </w:rPr>
              <w:t xml:space="preserve"> </w:t>
            </w:r>
            <w:r w:rsidRPr="008C0A91">
              <w:rPr>
                <w:sz w:val="17"/>
              </w:rPr>
              <w:t>044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044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Etiopía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11 </w:t>
            </w:r>
            <w:r w:rsidRPr="008C0A91">
              <w:rPr>
                <w:sz w:val="17"/>
              </w:rPr>
              <w:t>245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11 </w:t>
            </w:r>
            <w:r w:rsidRPr="008C0A91">
              <w:rPr>
                <w:sz w:val="17"/>
              </w:rPr>
              <w:t>245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Kenya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35 </w:t>
            </w:r>
            <w:r w:rsidRPr="008C0A91">
              <w:rPr>
                <w:sz w:val="17"/>
              </w:rPr>
              <w:t>927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760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36 </w:t>
            </w:r>
            <w:r w:rsidRPr="008C0A91">
              <w:rPr>
                <w:sz w:val="17"/>
              </w:rPr>
              <w:t>687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Somalia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556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556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Sud</w:t>
            </w:r>
            <w:r>
              <w:rPr>
                <w:noProof/>
                <w:sz w:val="17"/>
              </w:rPr>
              <w:t>á</w:t>
            </w:r>
            <w:r w:rsidRPr="008C0A91">
              <w:rPr>
                <w:noProof/>
                <w:sz w:val="17"/>
              </w:rPr>
              <w:t>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18 </w:t>
            </w:r>
            <w:r w:rsidRPr="008C0A91">
              <w:rPr>
                <w:sz w:val="17"/>
              </w:rPr>
              <w:t>035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18 </w:t>
            </w:r>
            <w:r w:rsidRPr="008C0A91">
              <w:rPr>
                <w:sz w:val="17"/>
              </w:rPr>
              <w:t>035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Uganda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409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460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868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oriental y Cuerno de África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100 250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1 219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101 469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8C0A91">
              <w:rPr>
                <w:b/>
                <w:i/>
                <w:sz w:val="17"/>
              </w:rPr>
              <w:t>África central y región de los Grandes Lagos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África central y región de los Grandes Lagos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19 </w:t>
            </w:r>
            <w:r w:rsidRPr="008C0A91">
              <w:rPr>
                <w:sz w:val="17"/>
              </w:rPr>
              <w:t>870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19 </w:t>
            </w:r>
            <w:r w:rsidRPr="008C0A91">
              <w:rPr>
                <w:sz w:val="17"/>
              </w:rPr>
              <w:t>870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Burundi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29 </w:t>
            </w:r>
            <w:r w:rsidRPr="008C0A91">
              <w:rPr>
                <w:sz w:val="17"/>
              </w:rPr>
              <w:t>094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555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29 </w:t>
            </w:r>
            <w:r w:rsidRPr="008C0A91">
              <w:rPr>
                <w:sz w:val="17"/>
              </w:rPr>
              <w:t>650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Camerún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933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933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Chad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51 </w:t>
            </w:r>
            <w:r w:rsidRPr="008C0A91">
              <w:rPr>
                <w:sz w:val="17"/>
              </w:rPr>
              <w:t>749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953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52 </w:t>
            </w:r>
            <w:r w:rsidRPr="008C0A91">
              <w:rPr>
                <w:sz w:val="17"/>
              </w:rPr>
              <w:t>702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Congo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245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245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Gabón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Centroafricana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487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487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6E521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Democrática del Congo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44 </w:t>
            </w:r>
            <w:r w:rsidRPr="008C0A91">
              <w:rPr>
                <w:sz w:val="17"/>
              </w:rPr>
              <w:t>931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887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45 </w:t>
            </w:r>
            <w:r w:rsidRPr="008C0A91">
              <w:rPr>
                <w:sz w:val="17"/>
              </w:rPr>
              <w:t>818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Unida de Tanzanía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290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249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539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Rwanda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469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131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600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central y región de los Grandes Lagos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167 074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2 775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169 849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8C0A91">
              <w:rPr>
                <w:b/>
                <w:i/>
                <w:sz w:val="17"/>
              </w:rPr>
              <w:t>África meridional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África meridional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551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551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Angola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183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183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Botswana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233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233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Malawi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>
              <w:rPr>
                <w:noProof/>
                <w:sz w:val="17"/>
              </w:rPr>
              <w:t>Mozambique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>
              <w:rPr>
                <w:noProof/>
                <w:sz w:val="17"/>
              </w:rPr>
              <w:t>Sudáfrica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433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433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>
              <w:rPr>
                <w:noProof/>
                <w:sz w:val="17"/>
              </w:rPr>
              <w:t>Zambia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463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463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Zimbabwe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70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meridional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10 063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10 063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352 182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3 994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356 177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i/>
                <w:sz w:val="17"/>
              </w:rPr>
            </w:pPr>
            <w:r>
              <w:br w:type="page"/>
            </w:r>
            <w:r w:rsidRPr="008C0A91">
              <w:rPr>
                <w:b/>
                <w:i/>
                <w:sz w:val="17"/>
              </w:rPr>
              <w:t>Oriente Medio y África septentrional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Oriente Medio y África septentrional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409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409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E521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E5214">
              <w:rPr>
                <w:b/>
                <w:i/>
                <w:sz w:val="17"/>
              </w:rPr>
              <w:t>África septentrional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África septentrional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716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716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Argelia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134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134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Jamahiriya Árabe Libia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310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310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Marruecos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Mauritania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132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132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África septentrional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8 922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8 922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Oriente Medio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Oriente Medio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9 </w:t>
            </w:r>
            <w:r w:rsidRPr="008C0A91">
              <w:rPr>
                <w:sz w:val="17"/>
              </w:rPr>
              <w:t>572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9 </w:t>
            </w:r>
            <w:r w:rsidRPr="008C0A91">
              <w:rPr>
                <w:sz w:val="17"/>
              </w:rPr>
              <w:t>572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Arabia Saudita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309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309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Egipto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720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720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Israel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Jordania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216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Líbano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167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167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Árabe Siria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Yemen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953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953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Oriente Medio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20 046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20 046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Oriente Medio y África septentrional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29 377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29 377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Asia y el Pacífico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Asia y el Pacífico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4 448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4 448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Asia meridional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Bangladesh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534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534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India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871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871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Nepal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8 </w:t>
            </w:r>
            <w:r w:rsidRPr="008C0A91">
              <w:rPr>
                <w:sz w:val="17"/>
              </w:rPr>
              <w:t>048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8 </w:t>
            </w:r>
            <w:r w:rsidRPr="008C0A91">
              <w:rPr>
                <w:sz w:val="17"/>
              </w:rPr>
              <w:t>048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Sri Lanka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620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620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Asia meridional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21 073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21 073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Asia oriental y el Pacífico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ab/>
              <w:t>Asia oriental y el Pacífico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10 800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E24B68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E24B68">
              <w:rPr>
                <w:b/>
                <w:sz w:val="17"/>
              </w:rPr>
              <w:t>10 800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Australia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153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153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Indonesia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658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Japón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128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128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Malasia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305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305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Myanmar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616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616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>
              <w:rPr>
                <w:noProof/>
                <w:sz w:val="17"/>
              </w:rPr>
              <w:t>Papua Nueva Guinea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24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Tailandia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898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7 </w:t>
            </w:r>
            <w:r w:rsidRPr="008C0A91">
              <w:rPr>
                <w:sz w:val="17"/>
              </w:rPr>
              <w:t>898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ab/>
              <w:t>Asia oriental y el Pacífico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29 581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29 581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Asia sudoccidental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Asia sudoccidental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34 </w:t>
            </w:r>
            <w:r w:rsidRPr="008C0A91">
              <w:rPr>
                <w:sz w:val="17"/>
              </w:rPr>
              <w:t>120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34 </w:t>
            </w:r>
            <w:r w:rsidRPr="008C0A91">
              <w:rPr>
                <w:sz w:val="17"/>
              </w:rPr>
              <w:t>120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Afganistán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45 </w:t>
            </w:r>
            <w:r w:rsidRPr="008C0A91">
              <w:rPr>
                <w:sz w:val="17"/>
              </w:rPr>
              <w:t>484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300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45 </w:t>
            </w:r>
            <w:r w:rsidRPr="008C0A91">
              <w:rPr>
                <w:sz w:val="17"/>
              </w:rPr>
              <w:t>784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Pakistán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9 </w:t>
            </w:r>
            <w:r w:rsidRPr="008C0A91">
              <w:rPr>
                <w:sz w:val="17"/>
              </w:rPr>
              <w:t>243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9 </w:t>
            </w:r>
            <w:r w:rsidRPr="008C0A91">
              <w:rPr>
                <w:sz w:val="17"/>
              </w:rPr>
              <w:t>243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Islámica del Irán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856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856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ab/>
              <w:t>Asia sudoccidental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95 704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300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96 004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Asia central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Asia central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 </w:t>
            </w:r>
            <w:r w:rsidRPr="008C0A91">
              <w:rPr>
                <w:sz w:val="17"/>
              </w:rPr>
              <w:t>500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 </w:t>
            </w:r>
            <w:r w:rsidRPr="008C0A91">
              <w:rPr>
                <w:sz w:val="17"/>
              </w:rPr>
              <w:t>500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Kazajstán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100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Kirguistán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178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Turkmenistán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155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155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ab/>
              <w:t>Asia central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2 933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2 933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ab/>
              <w:t>Asia y el Pacífico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153 739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300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154 039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i/>
                <w:sz w:val="17"/>
              </w:rPr>
            </w:pPr>
            <w:r w:rsidRPr="006B01F6">
              <w:rPr>
                <w:b/>
                <w:i/>
                <w:noProof/>
                <w:sz w:val="17"/>
              </w:rPr>
              <w:t>Europ</w:t>
            </w:r>
            <w:r>
              <w:rPr>
                <w:b/>
                <w:i/>
                <w:noProof/>
                <w:sz w:val="17"/>
              </w:rPr>
              <w:t>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ab/>
              <w:t>Europa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257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6C7374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6C7374">
              <w:rPr>
                <w:b/>
                <w:sz w:val="17"/>
              </w:rPr>
              <w:t>257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Europa oriental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Europa oriental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239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239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Armenia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632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Azerbaiyán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260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260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Belarus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Federación de Rusia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361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4 </w:t>
            </w:r>
            <w:r w:rsidRPr="008C0A91">
              <w:rPr>
                <w:sz w:val="17"/>
              </w:rPr>
              <w:t>361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Georgia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14 </w:t>
            </w:r>
            <w:r w:rsidRPr="008C0A91">
              <w:rPr>
                <w:sz w:val="17"/>
              </w:rPr>
              <w:t>936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14 </w:t>
            </w:r>
            <w:r w:rsidRPr="008C0A91">
              <w:rPr>
                <w:sz w:val="17"/>
              </w:rPr>
              <w:t>936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República de Moldova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746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746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Ucrania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683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683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ab/>
              <w:t>Europa oriental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29 509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29 509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Europa central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Europa central y Estados bálticos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660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</w:t>
            </w:r>
            <w:r>
              <w:rPr>
                <w:sz w:val="17"/>
              </w:rPr>
              <w:t xml:space="preserve"> </w:t>
            </w:r>
            <w:r w:rsidRPr="008C0A91">
              <w:rPr>
                <w:sz w:val="17"/>
              </w:rPr>
              <w:t>660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Chipre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Eslovaquia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305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305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Hungría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389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389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Rumania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192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Turquía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114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114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ab/>
              <w:t>Europa central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4 711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4 711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6B01F6">
              <w:rPr>
                <w:b/>
                <w:i/>
                <w:sz w:val="17"/>
              </w:rPr>
              <w:t>Europa occidental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Europa occidental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200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</w:t>
            </w:r>
            <w:r>
              <w:rPr>
                <w:sz w:val="17"/>
              </w:rPr>
              <w:t xml:space="preserve"> </w:t>
            </w:r>
            <w:r w:rsidRPr="008C0A91">
              <w:rPr>
                <w:sz w:val="17"/>
              </w:rPr>
              <w:t>200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Alemania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603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603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Austria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B</w:t>
            </w:r>
            <w:r>
              <w:rPr>
                <w:noProof/>
                <w:sz w:val="17"/>
              </w:rPr>
              <w:t>élgica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517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517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España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666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666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Francia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542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542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Grecia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121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121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>
              <w:rPr>
                <w:noProof/>
                <w:sz w:val="17"/>
              </w:rPr>
              <w:t>Irlanda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174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Italia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 </w:t>
            </w:r>
            <w:r w:rsidRPr="008C0A91">
              <w:rPr>
                <w:sz w:val="17"/>
              </w:rPr>
              <w:t>197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 </w:t>
            </w:r>
            <w:r w:rsidRPr="008C0A91">
              <w:rPr>
                <w:sz w:val="17"/>
              </w:rPr>
              <w:t>197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Malta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66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6B01F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Reino Unido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510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510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Suecia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Suiza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36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3" w:hanging="346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ab/>
              <w:t>Europa occidental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10 720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10 720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b/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Europa sudoriental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Europa sudoriental en general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701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701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Bosnia y Herzegovina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868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868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Croacia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845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845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ex República Yugoslava de Macedonia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160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160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Montenegro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sz w:val="17"/>
              </w:rPr>
              <w:t>Serbia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085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keepNext/>
              <w:keepLines/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085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ab/>
              <w:t>Europa sudoriental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17 858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17 858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28452A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28452A">
              <w:rPr>
                <w:b/>
                <w:sz w:val="17"/>
              </w:rPr>
              <w:tab/>
              <w:t>Europa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28452A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28452A">
              <w:rPr>
                <w:b/>
                <w:sz w:val="17"/>
              </w:rPr>
              <w:t>63 054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28452A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28452A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28452A">
              <w:rPr>
                <w:b/>
                <w:sz w:val="17"/>
              </w:rPr>
              <w:t>63 054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América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ab/>
              <w:t>América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1 845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1D7366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1D7366">
              <w:rPr>
                <w:b/>
                <w:sz w:val="17"/>
              </w:rPr>
              <w:t>1 845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Norte de Sudamérica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rPr>
                <w:sz w:val="17"/>
              </w:rPr>
            </w:pPr>
            <w:r w:rsidRPr="008C0A91">
              <w:rPr>
                <w:sz w:val="17"/>
              </w:rPr>
              <w:t>Venezuela (Oficina Regional)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830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3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830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Colombia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353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353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Costa Rica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199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199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>
              <w:rPr>
                <w:sz w:val="17"/>
              </w:rPr>
              <w:t>Ecuador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915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6 </w:t>
            </w:r>
            <w:r w:rsidRPr="008C0A91">
              <w:rPr>
                <w:sz w:val="17"/>
              </w:rPr>
              <w:t>915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rPr>
                <w:sz w:val="17"/>
              </w:rPr>
            </w:pPr>
            <w:r>
              <w:rPr>
                <w:noProof/>
                <w:sz w:val="17"/>
              </w:rPr>
              <w:t>Panamá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634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after="81"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634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950795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950795">
              <w:rPr>
                <w:b/>
                <w:sz w:val="17"/>
              </w:rPr>
              <w:tab/>
              <w:t>Norte de Sudamérica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950795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950795">
              <w:rPr>
                <w:b/>
                <w:sz w:val="17"/>
              </w:rPr>
              <w:t>10 930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950795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950795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950795">
              <w:rPr>
                <w:b/>
                <w:sz w:val="17"/>
              </w:rPr>
              <w:t>10 930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Sur de Sudamérica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Argentina (Oficina Regional)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942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942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noProof/>
                <w:sz w:val="17"/>
              </w:rPr>
              <w:t>Brasil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608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608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</w:r>
            <w:r w:rsidRPr="00DC08FF">
              <w:rPr>
                <w:b/>
                <w:noProof/>
                <w:sz w:val="17"/>
              </w:rPr>
              <w:t>Sur de Sudamérica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1 550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1 550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América Central y México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México (Oficina Regional)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340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340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  <w:t>América Central y México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340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340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América del Norte y el Caribe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Estados Unidos de América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296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296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  <w:t>América del Norte y el Caribe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296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296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  <w:t>América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14 962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14 962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  <w:t>Operaciones sobre el terreno en general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2 363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2 363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ab/>
              <w:t>Operaciones sobre el terreno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615 678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4 294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DC08FF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DC08FF">
              <w:rPr>
                <w:b/>
                <w:sz w:val="17"/>
              </w:rPr>
              <w:t>619 972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5" w:hanging="346"/>
              <w:rPr>
                <w:i/>
                <w:sz w:val="17"/>
              </w:rPr>
            </w:pPr>
            <w:r>
              <w:br w:type="page"/>
            </w:r>
            <w:r w:rsidRPr="001160A1">
              <w:rPr>
                <w:b/>
                <w:i/>
                <w:sz w:val="17"/>
              </w:rPr>
              <w:t>Programas mundiales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Dirección y Gestión Ejecutivas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75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Protección Internacional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947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947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Sistemas de Información y Telecomunicaciones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214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214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Relaciones Externas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175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Departamento de Operaciones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613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192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12 </w:t>
            </w:r>
            <w:r w:rsidRPr="008C0A91">
              <w:rPr>
                <w:sz w:val="17"/>
              </w:rPr>
              <w:t>805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Emergencias y Gestión de Suministros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3 </w:t>
            </w:r>
            <w:r w:rsidRPr="008C0A91">
              <w:rPr>
                <w:sz w:val="17"/>
              </w:rPr>
              <w:t>845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677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5 </w:t>
            </w:r>
            <w:r w:rsidRPr="008C0A91">
              <w:rPr>
                <w:sz w:val="17"/>
              </w:rPr>
              <w:t>522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Gestión de Recursos Humanos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100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100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Programas mundiales en general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25 </w:t>
            </w:r>
            <w:r w:rsidRPr="008C0A91">
              <w:rPr>
                <w:sz w:val="17"/>
              </w:rPr>
              <w:t>242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25 </w:t>
            </w:r>
            <w:r w:rsidRPr="008C0A91">
              <w:rPr>
                <w:sz w:val="17"/>
              </w:rPr>
              <w:t>242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ab/>
              <w:t>Programas mundiales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49 210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1 869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51 079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1160A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i/>
                <w:sz w:val="17"/>
              </w:rPr>
            </w:pPr>
            <w:r w:rsidRPr="001160A1">
              <w:rPr>
                <w:b/>
                <w:i/>
                <w:sz w:val="17"/>
              </w:rPr>
              <w:t>Sede</w:t>
            </w: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top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División de Protección Internacional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351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 w:rsidRPr="008C0A91">
              <w:rPr>
                <w:sz w:val="17"/>
              </w:rPr>
              <w:t>351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vanish/>
                <w:sz w:val="17"/>
              </w:rPr>
            </w:pPr>
            <w:r w:rsidRPr="008C0A91">
              <w:rPr>
                <w:sz w:val="17"/>
              </w:rPr>
              <w:t>Centro Mundial de Servicios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850</w:t>
            </w:r>
          </w:p>
        </w:tc>
        <w:tc>
          <w:tcPr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1 </w:t>
            </w:r>
            <w:r w:rsidRPr="008C0A91">
              <w:rPr>
                <w:sz w:val="17"/>
              </w:rPr>
              <w:t>850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rPr>
                <w:sz w:val="17"/>
              </w:rPr>
            </w:pPr>
            <w:r w:rsidRPr="008C0A91">
              <w:rPr>
                <w:sz w:val="17"/>
              </w:rPr>
              <w:t>Sede en general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23 </w:t>
            </w:r>
            <w:r w:rsidRPr="008C0A91">
              <w:rPr>
                <w:sz w:val="17"/>
              </w:rPr>
              <w:t>651</w:t>
            </w: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</w:p>
        </w:tc>
        <w:tc>
          <w:tcPr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52BC6" w:rsidRPr="008C0A91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line="210" w:lineRule="exact"/>
              <w:ind w:left="346" w:right="40" w:hanging="346"/>
              <w:jc w:val="right"/>
              <w:rPr>
                <w:sz w:val="17"/>
              </w:rPr>
            </w:pPr>
            <w:r>
              <w:rPr>
                <w:sz w:val="17"/>
              </w:rPr>
              <w:t xml:space="preserve">23 </w:t>
            </w:r>
            <w:r w:rsidRPr="008C0A91">
              <w:rPr>
                <w:sz w:val="17"/>
              </w:rPr>
              <w:t>651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ab/>
              <w:t>Sede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24 003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1 850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25 853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ab/>
              <w:t>Reserva para actividades operacionales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30 029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30 029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ab/>
              <w:t>Fondos para fines generales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304 850</w:t>
            </w: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</w:p>
        </w:tc>
        <w:tc>
          <w:tcPr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304 850</w:t>
            </w:r>
          </w:p>
        </w:tc>
      </w:tr>
      <w:tr w:rsidTr="007349EF">
        <w:tblPrEx>
          <w:tblW w:w="9638" w:type="dxa"/>
          <w:tblInd w:w="3828" w:type="dxa"/>
          <w:tblCellMar>
            <w:left w:w="0" w:type="dxa"/>
            <w:right w:w="0" w:type="dxa"/>
          </w:tblCellMar>
          <w:tblLook w:val="0000"/>
        </w:tblPrEx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ab/>
              <w:t xml:space="preserve">Fondo del Programa Anual </w:t>
            </w:r>
            <w:r>
              <w:rPr>
                <w:b/>
                <w:sz w:val="17"/>
              </w:rPr>
              <w:t>–</w:t>
            </w:r>
            <w:r w:rsidRPr="004466A0">
              <w:rPr>
                <w:b/>
                <w:sz w:val="17"/>
              </w:rPr>
              <w:t xml:space="preserve"> Total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1 023 769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8 013</w:t>
            </w:r>
          </w:p>
        </w:tc>
        <w:tc>
          <w:tcPr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:rsidR="00A52BC6" w:rsidRPr="004466A0" w:rsidP="003F36C0">
            <w:pPr>
              <w:tabs>
                <w:tab w:val="left" w:pos="288"/>
                <w:tab w:val="left" w:pos="576"/>
                <w:tab w:val="left" w:pos="864"/>
                <w:tab w:val="left" w:pos="1152"/>
              </w:tabs>
              <w:spacing w:before="81" w:after="81" w:line="210" w:lineRule="exact"/>
              <w:ind w:left="346" w:right="40" w:hanging="346"/>
              <w:jc w:val="right"/>
              <w:rPr>
                <w:b/>
                <w:sz w:val="17"/>
              </w:rPr>
            </w:pPr>
            <w:r w:rsidRPr="004466A0">
              <w:rPr>
                <w:b/>
                <w:sz w:val="17"/>
              </w:rPr>
              <w:t>1 031 782</w:t>
            </w:r>
          </w:p>
        </w:tc>
      </w:tr>
    </w:tbl>
    <w:p w:rsidR="00A52BC6" w:rsidRPr="003953FF" w:rsidP="003953FF"/>
    <w:sectPr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A2104D"/>
    <w:multiLevelType w:val="multilevel"/>
    <w:tmpl w:val="0C0A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142577A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6A7743B"/>
    <w:multiLevelType w:val="hybridMultilevel"/>
    <w:tmpl w:val="165289D8"/>
    <w:lvl w:ilvl="0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1C5FA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55B834F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5E7D328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F2E28B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AFD3DE4"/>
    <w:multiLevelType w:val="hybridMultilevel"/>
    <w:tmpl w:val="569E52D4"/>
    <w:lvl w:ilvl="0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4"/>
  </w:num>
  <w:num w:numId="4">
    <w:abstractNumId w:val="13"/>
  </w:num>
  <w:num w:numId="5">
    <w:abstractNumId w:val="16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8"/>
  </w:num>
  <w:num w:numId="17">
    <w:abstractNumId w:val="12"/>
  </w:num>
  <w:num w:numId="18">
    <w:abstractNumId w:val="11"/>
  </w:num>
  <w:num w:numId="19">
    <w:abstractNumId w:val="20"/>
  </w:num>
  <w:num w:numId="20">
    <w:abstractNumId w:val="17"/>
  </w:num>
  <w:num w:numId="21">
    <w:abstractNumId w:val="19"/>
  </w:num>
  <w:num w:numId="22">
    <w:abstractNumId w:val="10"/>
  </w:num>
  <w:num w:numId="23">
    <w:abstractNumId w:val="15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801" w:allStyles="1" w:alternateStyleNames="0" w:clearFormatting="1" w:customStyles="0" w:directFormattingOnNumbering="0" w:directFormattingOnParagraphs="0" w:directFormattingOnRuns="0" w:directFormattingOnTables="1" w:headingStyles="0" w:latentStyles="0" w:numberingStyles="0" w:stylesInUse="0" w:tableStyles="0" w:top3HeadingStyles="1" w:visibleStyles="0"/>
  <w:defaultTabStop w:val="567"/>
  <w:hyphenationZone w:val="425"/>
  <w:doNotHyphenateCaps/>
  <w:drawingGridHorizontalSpacing w:val="100"/>
  <w:displayHorizontalDrawingGridEvery w:val="2"/>
  <w:displayVerticalDrawingGridEvery w:val="2"/>
  <w:noPunctuationKerning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C6"/>
    <w:rsid w:val="000676DC"/>
    <w:rsid w:val="001160A1"/>
    <w:rsid w:val="00151D29"/>
    <w:rsid w:val="0015781B"/>
    <w:rsid w:val="001D7366"/>
    <w:rsid w:val="00205390"/>
    <w:rsid w:val="00212DE4"/>
    <w:rsid w:val="0028452A"/>
    <w:rsid w:val="003953FF"/>
    <w:rsid w:val="003F36C0"/>
    <w:rsid w:val="004466A0"/>
    <w:rsid w:val="004E6282"/>
    <w:rsid w:val="005B1221"/>
    <w:rsid w:val="00601FD8"/>
    <w:rsid w:val="00651F15"/>
    <w:rsid w:val="006B01F6"/>
    <w:rsid w:val="006C7374"/>
    <w:rsid w:val="006E5214"/>
    <w:rsid w:val="007349EF"/>
    <w:rsid w:val="00752500"/>
    <w:rsid w:val="00816D71"/>
    <w:rsid w:val="008C0A91"/>
    <w:rsid w:val="00950795"/>
    <w:rsid w:val="00A52BC6"/>
    <w:rsid w:val="00C1594F"/>
    <w:rsid w:val="00C15B58"/>
    <w:rsid w:val="00C34250"/>
    <w:rsid w:val="00D82C9C"/>
    <w:rsid w:val="00DC08FF"/>
    <w:rsid w:val="00DC5CB8"/>
    <w:rsid w:val="00DC7196"/>
    <w:rsid w:val="00E24B68"/>
    <w:rsid w:val="00F81B10"/>
    <w:rsid w:val="00F86586"/>
    <w:rsid w:val="00FD2671"/>
  </w:rsids>
  <m:mathPr>
    <m:mathFont m:val="Cambria Math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DFD63361-23F8-4CBB-B710-27B048F6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s-E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BC6"/>
    <w:pPr>
      <w:spacing w:line="240" w:lineRule="atLeast"/>
    </w:pPr>
    <w:rPr>
      <w:rFonts w:eastAsia="Times New Roman"/>
      <w:lang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pPr>
      <w:keepNext/>
      <w:outlineLvl w:val="1"/>
    </w:pPr>
    <w:rPr>
      <w:rFonts w:eastAsiaTheme="minorEastAsia" w:cs="Arial"/>
      <w:bCs/>
      <w:iCs/>
      <w:szCs w:val="28"/>
      <w:lang w:eastAsia="zh-CN"/>
    </w:rPr>
  </w:style>
  <w:style w:type="paragraph" w:styleId="Heading3">
    <w:name w:val="heading 3"/>
    <w:basedOn w:val="Normal"/>
    <w:next w:val="Normal"/>
    <w:semiHidden/>
    <w:pPr>
      <w:keepNext/>
      <w:spacing w:before="240" w:after="60"/>
      <w:outlineLvl w:val="2"/>
    </w:pPr>
    <w:rPr>
      <w:rFonts w:ascii="Arial" w:hAnsi="Arial" w:eastAsiaTheme="minorEastAsia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semiHidden/>
    <w:pPr>
      <w:keepNext/>
      <w:spacing w:before="240" w:after="60"/>
      <w:outlineLvl w:val="3"/>
    </w:pPr>
    <w:rPr>
      <w:rFonts w:eastAsiaTheme="minorEastAsia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pPr>
      <w:spacing w:before="240" w:after="60"/>
      <w:outlineLvl w:val="4"/>
    </w:pPr>
    <w:rPr>
      <w:rFonts w:eastAsiaTheme="minorEastAsia"/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semiHidden/>
    <w:pPr>
      <w:spacing w:before="240" w:after="60"/>
      <w:outlineLvl w:val="5"/>
    </w:pPr>
    <w:rPr>
      <w:rFonts w:eastAsiaTheme="minorEastAsia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pPr>
      <w:spacing w:before="240" w:after="60"/>
      <w:outlineLvl w:val="6"/>
    </w:pPr>
    <w:rPr>
      <w:rFonts w:eastAsiaTheme="minorEastAsia"/>
      <w:sz w:val="24"/>
      <w:szCs w:val="24"/>
      <w:lang w:eastAsia="zh-CN"/>
    </w:rPr>
  </w:style>
  <w:style w:type="paragraph" w:styleId="Heading8">
    <w:name w:val="heading 8"/>
    <w:basedOn w:val="Normal"/>
    <w:next w:val="Normal"/>
    <w:semiHidden/>
    <w:pPr>
      <w:spacing w:before="240" w:after="60"/>
      <w:outlineLvl w:val="7"/>
    </w:pPr>
    <w:rPr>
      <w:rFonts w:eastAsiaTheme="minorEastAsia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semiHidden/>
    <w:pPr>
      <w:spacing w:before="240" w:after="60"/>
      <w:outlineLvl w:val="8"/>
    </w:pPr>
    <w:rPr>
      <w:rFonts w:ascii="Arial" w:hAnsi="Arial" w:eastAsiaTheme="minorEastAsia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rFonts w:eastAsiaTheme="minorEastAsia"/>
      <w:b/>
      <w:sz w:val="34"/>
      <w:lang w:eastAsia="zh-CN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rFonts w:eastAsiaTheme="minorEastAsia"/>
      <w:b/>
      <w:sz w:val="28"/>
      <w:lang w:eastAsia="zh-CN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rFonts w:eastAsiaTheme="minorEastAsia"/>
      <w:b/>
      <w:sz w:val="24"/>
      <w:lang w:eastAsia="zh-CN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rFonts w:eastAsiaTheme="minorEastAsia"/>
      <w:b/>
      <w:lang w:eastAsia="zh-CN"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rFonts w:eastAsiaTheme="minorEastAsia"/>
      <w:i/>
      <w:lang w:eastAsia="zh-CN"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rFonts w:eastAsiaTheme="minorEastAsia"/>
      <w:lang w:eastAsia="zh-CN"/>
    </w:r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  <w:rPr>
      <w:rFonts w:eastAsiaTheme="minorEastAsia"/>
      <w:lang w:eastAsia="zh-CN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6"/>
      </w:numPr>
      <w:spacing w:after="120"/>
      <w:ind w:right="1134"/>
      <w:jc w:val="both"/>
    </w:pPr>
    <w:rPr>
      <w:rFonts w:eastAsiaTheme="minorEastAsia"/>
      <w:lang w:eastAsia="en-US"/>
    </w:rPr>
  </w:style>
  <w:style w:type="paragraph" w:customStyle="1" w:styleId="Bullet2G">
    <w:name w:val="_Bullet 2_G"/>
    <w:basedOn w:val="Normal"/>
    <w:qFormat/>
    <w:pPr>
      <w:numPr>
        <w:numId w:val="17"/>
      </w:numPr>
      <w:spacing w:after="120"/>
      <w:ind w:right="1134"/>
      <w:jc w:val="both"/>
    </w:pPr>
    <w:rPr>
      <w:rFonts w:eastAsiaTheme="minorEastAsia"/>
      <w:lang w:eastAsia="zh-CN"/>
    </w:rPr>
  </w:style>
  <w:style w:type="numbering" w:styleId="111111">
    <w:name w:val="Outline List 2"/>
    <w:basedOn w:val="NoList"/>
    <w:pPr>
      <w:numPr>
        <w:numId w:val="19"/>
      </w:numPr>
    </w:pPr>
  </w:style>
  <w:style w:type="numbering" w:styleId="1ai">
    <w:name w:val="Outline List 1"/>
    <w:basedOn w:val="NoList"/>
    <w:pPr>
      <w:numPr>
        <w:numId w:val="21"/>
      </w:numPr>
    </w:pPr>
  </w:style>
  <w:style w:type="character" w:styleId="HTMLAcronym">
    <w:name w:val="HTML Acronym"/>
    <w:basedOn w:val="DefaultParagraphFont"/>
    <w:semiHidden/>
  </w:style>
  <w:style w:type="numbering" w:styleId="ArticleSection">
    <w:name w:val="Outline List 3"/>
    <w:basedOn w:val="NoList"/>
    <w:pPr>
      <w:numPr>
        <w:numId w:val="23"/>
      </w:numPr>
    </w:pPr>
  </w:style>
  <w:style w:type="paragraph" w:styleId="Closing">
    <w:name w:val="Closing"/>
    <w:basedOn w:val="Normal"/>
    <w:link w:val="ClosingChar"/>
    <w:semiHidden/>
    <w:pPr>
      <w:ind w:left="4252"/>
    </w:pPr>
    <w:rPr>
      <w:rFonts w:eastAsiaTheme="minorEastAsia"/>
      <w:lang w:eastAsia="zh-CN"/>
    </w:rPr>
  </w:style>
  <w:style w:type="character" w:customStyle="1" w:styleId="ClosingChar">
    <w:name w:val="Closing Char"/>
    <w:basedOn w:val="DefaultParagraphFont"/>
    <w:link w:val="Closing"/>
    <w:semiHidden/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Pr>
      <w:b/>
      <w:bCs/>
      <w:i/>
      <w:iCs/>
      <w:color w:val="4F81BD"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pPr>
      <w:spacing w:after="120"/>
      <w:ind w:left="283"/>
    </w:pPr>
    <w:rPr>
      <w:rFonts w:eastAsiaTheme="minorEastAsia"/>
      <w:lang w:eastAsia="zh-CN"/>
    </w:rPr>
  </w:style>
  <w:style w:type="paragraph" w:styleId="ListContinue2">
    <w:name w:val="List Continue 2"/>
    <w:basedOn w:val="Normal"/>
    <w:semiHidden/>
    <w:pPr>
      <w:spacing w:after="120"/>
      <w:ind w:left="566"/>
    </w:pPr>
    <w:rPr>
      <w:rFonts w:eastAsiaTheme="minorEastAsia"/>
      <w:lang w:eastAsia="zh-CN"/>
    </w:rPr>
  </w:style>
  <w:style w:type="paragraph" w:styleId="ListContinue3">
    <w:name w:val="List Continue 3"/>
    <w:basedOn w:val="Normal"/>
    <w:semiHidden/>
    <w:pPr>
      <w:spacing w:after="120"/>
      <w:ind w:left="849"/>
    </w:pPr>
    <w:rPr>
      <w:rFonts w:eastAsiaTheme="minorEastAsia"/>
      <w:lang w:eastAsia="zh-CN"/>
    </w:rPr>
  </w:style>
  <w:style w:type="paragraph" w:styleId="ListContinue4">
    <w:name w:val="List Continue 4"/>
    <w:basedOn w:val="Normal"/>
    <w:semiHidden/>
    <w:pPr>
      <w:spacing w:after="120"/>
      <w:ind w:left="1132"/>
    </w:pPr>
    <w:rPr>
      <w:rFonts w:eastAsiaTheme="minorEastAsia"/>
      <w:lang w:eastAsia="zh-CN"/>
    </w:rPr>
  </w:style>
  <w:style w:type="paragraph" w:styleId="ListContinue5">
    <w:name w:val="List Continue 5"/>
    <w:basedOn w:val="Normal"/>
    <w:semiHidden/>
    <w:pPr>
      <w:spacing w:after="120"/>
      <w:ind w:left="1415"/>
    </w:pPr>
    <w:rPr>
      <w:rFonts w:eastAsiaTheme="minorEastAsia"/>
      <w:lang w:eastAsia="zh-CN"/>
    </w:rPr>
  </w:style>
  <w:style w:type="character" w:styleId="HTMLDefinition">
    <w:name w:val="HTML Definition"/>
    <w:semiHidden/>
    <w:rPr>
      <w:i/>
      <w:iCs/>
    </w:rPr>
  </w:style>
  <w:style w:type="paragraph" w:styleId="HTMLAddress">
    <w:name w:val="HTML Address"/>
    <w:basedOn w:val="Normal"/>
    <w:link w:val="HTMLAddressChar"/>
    <w:semiHidden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</w:rPr>
  </w:style>
  <w:style w:type="paragraph" w:styleId="EnvelopeAddress">
    <w:name w:val="envelope address"/>
    <w:basedOn w:val="Normal"/>
    <w:semiHidden/>
    <w:pPr>
      <w:framePr w:w="7920" w:h="1980" w:hRule="exact" w:hSpace="141" w:wrap="auto" w:hAnchor="page" w:xAlign="center" w:yAlign="bottom"/>
      <w:ind w:left="2880"/>
    </w:pPr>
    <w:rPr>
      <w:rFonts w:ascii="Arial" w:hAnsi="Arial" w:eastAsiaTheme="minorEastAsia" w:cs="Arial"/>
      <w:sz w:val="24"/>
      <w:szCs w:val="24"/>
      <w:lang w:eastAsia="zh-CN"/>
    </w:rPr>
  </w:style>
  <w:style w:type="character" w:styleId="HTMLSample">
    <w:name w:val="HTML Sample"/>
    <w:semiHidden/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="Arial" w:hAnsi="Arial" w:cs="Arial"/>
      <w:sz w:val="24"/>
      <w:szCs w:val="24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semiHidden/>
  </w:style>
  <w:style w:type="character" w:customStyle="1" w:styleId="NoteHeadingChar">
    <w:name w:val="Note Heading Char"/>
    <w:basedOn w:val="DefaultParagraphFont"/>
    <w:link w:val="NoteHeading"/>
    <w:semiHidden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rFonts w:eastAsiaTheme="minorEastAsia"/>
      <w:b/>
      <w:sz w:val="18"/>
      <w:lang w:eastAsia="zh-CN"/>
    </w:rPr>
  </w:style>
  <w:style w:type="character" w:customStyle="1" w:styleId="HeaderChar">
    <w:name w:val="Header Char"/>
    <w:aliases w:val="6_G Char"/>
    <w:basedOn w:val="DefaultParagraphFont"/>
    <w:link w:val="Header"/>
    <w:rPr>
      <w:b/>
      <w:sz w:val="18"/>
    </w:rPr>
  </w:style>
  <w:style w:type="character" w:styleId="Emphasis">
    <w:name w:val="Emphasis"/>
    <w:semiHidden/>
    <w:rPr>
      <w:i/>
      <w:iCs/>
    </w:rPr>
  </w:style>
  <w:style w:type="character" w:styleId="IntenseEmphasis">
    <w:name w:val="Intense Emphasis"/>
    <w:uiPriority w:val="21"/>
    <w:semiHidden/>
    <w:rPr>
      <w:b/>
      <w:bCs/>
      <w:i/>
      <w:iCs/>
      <w:color w:val="4F81BD"/>
    </w:rPr>
  </w:style>
  <w:style w:type="paragraph" w:styleId="Date">
    <w:name w:val="Date"/>
    <w:basedOn w:val="Normal"/>
    <w:next w:val="Normal"/>
    <w:link w:val="DateChar"/>
    <w:semiHidden/>
  </w:style>
  <w:style w:type="character" w:customStyle="1" w:styleId="DateChar">
    <w:name w:val="Date Char"/>
    <w:basedOn w:val="DefaultParagraphFont"/>
    <w:link w:val="Date"/>
    <w:semiHidden/>
  </w:style>
  <w:style w:type="paragraph" w:styleId="Signature">
    <w:name w:val="Signature"/>
    <w:basedOn w:val="Normal"/>
    <w:link w:val="SignatureChar"/>
    <w:semiHidden/>
    <w:pPr>
      <w:ind w:left="4252"/>
    </w:pPr>
    <w:rPr>
      <w:rFonts w:eastAsiaTheme="minorEastAsia"/>
      <w:lang w:eastAsia="zh-CN"/>
    </w:rPr>
  </w:style>
  <w:style w:type="character" w:customStyle="1" w:styleId="SignatureChar">
    <w:name w:val="Signature Char"/>
    <w:basedOn w:val="DefaultParagraphFont"/>
    <w:link w:val="Signature"/>
    <w:semiHidden/>
  </w:style>
  <w:style w:type="paragraph" w:styleId="E-mailSignature">
    <w:name w:val="E-mail Signature"/>
    <w:basedOn w:val="Normal"/>
    <w:link w:val="E-mailSignatureChar"/>
    <w:semiHidden/>
  </w:style>
  <w:style w:type="character" w:customStyle="1" w:styleId="E-mailSignatureChar">
    <w:name w:val="E-mail Signature Char"/>
    <w:basedOn w:val="DefaultParagraphFont"/>
    <w:link w:val="E-mailSignature"/>
    <w:semiHidden/>
  </w:style>
  <w:style w:type="character" w:styleId="Hyperlink">
    <w:name w:val="Hyperlink"/>
    <w:rPr>
      <w:color w:val="0000FF"/>
      <w:u w:val="none"/>
    </w:rPr>
  </w:style>
  <w:style w:type="character" w:styleId="FollowedHyperlink">
    <w:name w:val="FollowedHyperlink"/>
    <w:rPr>
      <w:color w:val="0000FF"/>
      <w:u w:val="none"/>
    </w:rPr>
  </w:style>
  <w:style w:type="paragraph" w:styleId="HTMLPreformatted">
    <w:name w:val="HTML Preformatted"/>
    <w:basedOn w:val="Normal"/>
    <w:link w:val="HTMLPreformattedChar"/>
    <w:semiHidden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hAnsi="Courier New" w:cs="Courier New"/>
    </w:rPr>
  </w:style>
  <w:style w:type="paragraph" w:styleId="List">
    <w:name w:val="List"/>
    <w:basedOn w:val="Normal"/>
    <w:semiHidden/>
    <w:pPr>
      <w:ind w:left="283" w:hanging="283"/>
    </w:pPr>
    <w:rPr>
      <w:rFonts w:eastAsiaTheme="minorEastAsia"/>
      <w:lang w:eastAsia="zh-CN"/>
    </w:rPr>
  </w:style>
  <w:style w:type="paragraph" w:styleId="List2">
    <w:name w:val="List 2"/>
    <w:basedOn w:val="Normal"/>
    <w:semiHidden/>
    <w:pPr>
      <w:ind w:left="566" w:hanging="283"/>
    </w:pPr>
    <w:rPr>
      <w:rFonts w:eastAsiaTheme="minorEastAsia"/>
      <w:lang w:eastAsia="zh-CN"/>
    </w:rPr>
  </w:style>
  <w:style w:type="paragraph" w:styleId="List3">
    <w:name w:val="List 3"/>
    <w:basedOn w:val="Normal"/>
    <w:semiHidden/>
    <w:pPr>
      <w:ind w:left="849" w:hanging="283"/>
    </w:pPr>
    <w:rPr>
      <w:rFonts w:eastAsiaTheme="minorEastAsia"/>
      <w:lang w:eastAsia="zh-CN"/>
    </w:rPr>
  </w:style>
  <w:style w:type="paragraph" w:styleId="List4">
    <w:name w:val="List 4"/>
    <w:basedOn w:val="Normal"/>
    <w:semiHidden/>
    <w:pPr>
      <w:ind w:left="1132" w:hanging="283"/>
    </w:pPr>
    <w:rPr>
      <w:rFonts w:eastAsiaTheme="minorEastAsia"/>
      <w:lang w:eastAsia="zh-CN"/>
    </w:rPr>
  </w:style>
  <w:style w:type="paragraph" w:styleId="List5">
    <w:name w:val="List 5"/>
    <w:basedOn w:val="Normal"/>
    <w:semiHidden/>
    <w:pPr>
      <w:ind w:left="1415" w:hanging="283"/>
    </w:pPr>
    <w:rPr>
      <w:rFonts w:eastAsiaTheme="minorEastAsia"/>
      <w:lang w:eastAsia="zh-CN"/>
    </w:rPr>
  </w:style>
  <w:style w:type="paragraph" w:styleId="ListNumber">
    <w:name w:val="List Number"/>
    <w:basedOn w:val="Normal"/>
    <w:semiHidden/>
    <w:pPr>
      <w:numPr>
        <w:numId w:val="24"/>
      </w:numPr>
    </w:pPr>
    <w:rPr>
      <w:rFonts w:eastAsiaTheme="minorEastAsia"/>
      <w:lang w:eastAsia="zh-CN"/>
    </w:rPr>
  </w:style>
  <w:style w:type="paragraph" w:styleId="ListNumber2">
    <w:name w:val="List Number 2"/>
    <w:basedOn w:val="Normal"/>
    <w:semiHidden/>
    <w:pPr>
      <w:numPr>
        <w:numId w:val="25"/>
      </w:numPr>
    </w:pPr>
    <w:rPr>
      <w:rFonts w:eastAsiaTheme="minorEastAsia"/>
      <w:lang w:eastAsia="zh-CN"/>
    </w:rPr>
  </w:style>
  <w:style w:type="paragraph" w:styleId="ListNumber3">
    <w:name w:val="List Number 3"/>
    <w:basedOn w:val="Normal"/>
    <w:semiHidden/>
    <w:pPr>
      <w:numPr>
        <w:numId w:val="26"/>
      </w:numPr>
    </w:pPr>
    <w:rPr>
      <w:rFonts w:eastAsiaTheme="minorEastAsia"/>
      <w:lang w:eastAsia="zh-CN"/>
    </w:rPr>
  </w:style>
  <w:style w:type="paragraph" w:styleId="ListNumber4">
    <w:name w:val="List Number 4"/>
    <w:basedOn w:val="Normal"/>
    <w:semiHidden/>
    <w:pPr>
      <w:numPr>
        <w:numId w:val="27"/>
      </w:numPr>
    </w:pPr>
    <w:rPr>
      <w:rFonts w:eastAsiaTheme="minorEastAsia"/>
      <w:lang w:eastAsia="zh-CN"/>
    </w:rPr>
  </w:style>
  <w:style w:type="paragraph" w:styleId="ListNumber5">
    <w:name w:val="List Number 5"/>
    <w:basedOn w:val="Normal"/>
    <w:semiHidden/>
    <w:pPr>
      <w:numPr>
        <w:numId w:val="28"/>
      </w:numPr>
    </w:pPr>
    <w:rPr>
      <w:rFonts w:eastAsiaTheme="minorEastAsia"/>
      <w:lang w:eastAsia="zh-CN"/>
    </w:rPr>
  </w:style>
  <w:style w:type="paragraph" w:styleId="ListBullet">
    <w:name w:val="List Bullet"/>
    <w:basedOn w:val="Normal"/>
    <w:semiHidden/>
    <w:pPr>
      <w:numPr>
        <w:numId w:val="29"/>
      </w:numPr>
    </w:pPr>
    <w:rPr>
      <w:rFonts w:eastAsiaTheme="minorEastAsia"/>
      <w:lang w:eastAsia="zh-CN"/>
    </w:rPr>
  </w:style>
  <w:style w:type="paragraph" w:styleId="ListBullet2">
    <w:name w:val="List Bullet 2"/>
    <w:basedOn w:val="Normal"/>
    <w:semiHidden/>
    <w:pPr>
      <w:numPr>
        <w:numId w:val="30"/>
      </w:numPr>
    </w:pPr>
    <w:rPr>
      <w:rFonts w:eastAsiaTheme="minorEastAsia"/>
      <w:lang w:eastAsia="zh-CN"/>
    </w:rPr>
  </w:style>
  <w:style w:type="paragraph" w:styleId="ListBullet3">
    <w:name w:val="List Bullet 3"/>
    <w:basedOn w:val="Normal"/>
    <w:semiHidden/>
    <w:pPr>
      <w:numPr>
        <w:numId w:val="31"/>
      </w:numPr>
    </w:pPr>
    <w:rPr>
      <w:rFonts w:eastAsiaTheme="minorEastAsia"/>
      <w:lang w:eastAsia="zh-CN"/>
    </w:rPr>
  </w:style>
  <w:style w:type="paragraph" w:styleId="ListBullet4">
    <w:name w:val="List Bullet 4"/>
    <w:basedOn w:val="Normal"/>
    <w:semiHidden/>
    <w:pPr>
      <w:numPr>
        <w:numId w:val="32"/>
      </w:numPr>
    </w:pPr>
    <w:rPr>
      <w:rFonts w:eastAsiaTheme="minorEastAsia"/>
      <w:lang w:eastAsia="zh-CN"/>
    </w:rPr>
  </w:style>
  <w:style w:type="paragraph" w:styleId="ListBullet5">
    <w:name w:val="List Bullet 5"/>
    <w:basedOn w:val="Normal"/>
    <w:semiHidden/>
    <w:pPr>
      <w:numPr>
        <w:numId w:val="33"/>
      </w:numPr>
    </w:pPr>
    <w:rPr>
      <w:rFonts w:eastAsiaTheme="minorEastAsia"/>
      <w:lang w:eastAsia="zh-CN"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Pr>
      <w:sz w:val="24"/>
      <w:szCs w:val="24"/>
    </w:rPr>
  </w:style>
  <w:style w:type="character" w:styleId="LineNumber">
    <w:name w:val="line number"/>
    <w:basedOn w:val="DefaultParagraphFont"/>
    <w:semiHidden/>
  </w:style>
  <w:style w:type="character" w:styleId="PageNumber">
    <w:name w:val="page number"/>
    <w:aliases w:val="7_G"/>
    <w:qFormat/>
    <w:rPr>
      <w:b/>
      <w:sz w:val="18"/>
    </w:rPr>
  </w:style>
  <w:style w:type="paragraph" w:styleId="Footer">
    <w:name w:val="footer"/>
    <w:aliases w:val="3_G"/>
    <w:basedOn w:val="Normal"/>
    <w:next w:val="Normal"/>
    <w:link w:val="FooterChar"/>
    <w:qFormat/>
    <w:rPr>
      <w:rFonts w:eastAsiaTheme="minorEastAsia"/>
      <w:sz w:val="16"/>
      <w:lang w:eastAsia="zh-CN"/>
    </w:rPr>
  </w:style>
  <w:style w:type="character" w:customStyle="1" w:styleId="FooterChar">
    <w:name w:val="Footer Char"/>
    <w:aliases w:val="3_G Char"/>
    <w:basedOn w:val="DefaultParagraphFont"/>
    <w:link w:val="Footer"/>
    <w:rPr>
      <w:sz w:val="16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</w:rPr>
  </w:style>
  <w:style w:type="character" w:styleId="FootnoteReference">
    <w:name w:val="footnote reference"/>
    <w:aliases w:val="4_G"/>
    <w:qFormat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Pr>
      <w:rFonts w:ascii="Arial" w:hAnsi="Arial" w:eastAsiaTheme="minorEastAsia" w:cs="Arial"/>
      <w:lang w:eastAsia="zh-CN"/>
    </w:rPr>
  </w:style>
  <w:style w:type="paragraph" w:styleId="Salutation">
    <w:name w:val="Salutation"/>
    <w:basedOn w:val="Normal"/>
    <w:next w:val="Normal"/>
    <w:link w:val="SalutationChar"/>
    <w:semiHidden/>
  </w:style>
  <w:style w:type="character" w:customStyle="1" w:styleId="SalutationChar">
    <w:name w:val="Salutation Char"/>
    <w:basedOn w:val="DefaultParagraphFont"/>
    <w:link w:val="Salutation"/>
    <w:semiHidden/>
  </w:style>
  <w:style w:type="paragraph" w:styleId="BodyTextIndent2">
    <w:name w:val="Body Text Indent 2"/>
    <w:basedOn w:val="Normal"/>
    <w:link w:val="BodyTextIndent2Char"/>
    <w:semiHidden/>
    <w:pPr>
      <w:spacing w:after="120" w:line="480" w:lineRule="auto"/>
      <w:ind w:left="283"/>
    </w:pPr>
    <w:rPr>
      <w:rFonts w:eastAsiaTheme="minorEastAsia"/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</w:style>
  <w:style w:type="paragraph" w:styleId="BodyTextIndent3">
    <w:name w:val="Body Text Indent 3"/>
    <w:basedOn w:val="Normal"/>
    <w:link w:val="BodyTextIndent3Char"/>
    <w:semiHidden/>
    <w:pPr>
      <w:spacing w:after="120"/>
      <w:ind w:left="283"/>
    </w:pPr>
    <w:rPr>
      <w:rFonts w:eastAsiaTheme="minorEastAsia"/>
      <w:sz w:val="16"/>
      <w:szCs w:val="16"/>
      <w:lang w:eastAsia="zh-CN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pPr>
      <w:spacing w:after="120"/>
      <w:ind w:left="283"/>
    </w:pPr>
    <w:rPr>
      <w:rFonts w:eastAsiaTheme="minorEastAsia"/>
      <w:lang w:eastAsia="zh-CN"/>
    </w:rPr>
  </w:style>
  <w:style w:type="character" w:customStyle="1" w:styleId="BodyTextIndentChar">
    <w:name w:val="Body Text Indent Char"/>
    <w:basedOn w:val="DefaultParagraphFont"/>
    <w:link w:val="BodyTextIndent"/>
    <w:semiHidden/>
  </w:style>
  <w:style w:type="paragraph" w:styleId="NormalIndent">
    <w:name w:val="Normal Indent"/>
    <w:basedOn w:val="Normal"/>
    <w:semiHidden/>
    <w:pPr>
      <w:ind w:left="567"/>
    </w:pPr>
    <w:rPr>
      <w:rFonts w:eastAsiaTheme="minorEastAsia"/>
      <w:lang w:eastAsia="zh-CN"/>
    </w:rPr>
  </w:style>
  <w:style w:type="paragraph" w:styleId="Subtitle">
    <w:name w:val="Subtitle"/>
    <w:basedOn w:val="Normal"/>
    <w:link w:val="SubtitleChar"/>
    <w:semiHidden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semiHidden/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">
    <w:name w:val="Table Grid"/>
    <w:basedOn w:val="TableNormal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character" w:styleId="Strong">
    <w:name w:val="Strong"/>
    <w:semiHidden/>
    <w:rPr>
      <w:b/>
      <w:bCs/>
    </w:rPr>
  </w:style>
  <w:style w:type="paragraph" w:styleId="BodyText">
    <w:name w:val="Body Text"/>
    <w:basedOn w:val="Normal"/>
    <w:link w:val="BodyTextChar"/>
    <w:semiHidden/>
    <w:pPr>
      <w:spacing w:after="120"/>
    </w:pPr>
    <w:rPr>
      <w:rFonts w:eastAsiaTheme="minorEastAsia"/>
      <w:lang w:eastAsia="zh-CN"/>
    </w:rPr>
  </w:style>
  <w:style w:type="character" w:customStyle="1" w:styleId="BodyTextChar">
    <w:name w:val="Body Text Char"/>
    <w:basedOn w:val="DefaultParagraphFont"/>
    <w:link w:val="BodyText"/>
    <w:semiHidden/>
  </w:style>
  <w:style w:type="paragraph" w:styleId="BodyText2">
    <w:name w:val="Body Text 2"/>
    <w:basedOn w:val="Normal"/>
    <w:link w:val="BodyText2Char"/>
    <w:semiHidden/>
    <w:pPr>
      <w:spacing w:after="120" w:line="480" w:lineRule="auto"/>
    </w:pPr>
    <w:rPr>
      <w:rFonts w:eastAsiaTheme="minorEastAsia"/>
      <w:lang w:eastAsia="zh-CN"/>
    </w:rPr>
  </w:style>
  <w:style w:type="character" w:customStyle="1" w:styleId="BodyText2Char">
    <w:name w:val="Body Text 2 Char"/>
    <w:basedOn w:val="DefaultParagraphFont"/>
    <w:link w:val="BodyText2"/>
    <w:semiHidden/>
  </w:style>
  <w:style w:type="paragraph" w:styleId="BodyText3">
    <w:name w:val="Body Text 3"/>
    <w:basedOn w:val="Normal"/>
    <w:link w:val="BodyText3Char"/>
    <w:semiHidden/>
    <w:pPr>
      <w:spacing w:after="120"/>
    </w:pPr>
    <w:rPr>
      <w:rFonts w:eastAsiaTheme="minorEastAsia"/>
      <w:sz w:val="16"/>
      <w:szCs w:val="16"/>
      <w:lang w:eastAsia="zh-CN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</w:style>
  <w:style w:type="paragraph" w:styleId="BodyTextFirstIndent2">
    <w:name w:val="Body Text First Indent 2"/>
    <w:basedOn w:val="BodyTextIndent"/>
    <w:link w:val="BodyTextFirstIndent2Char"/>
    <w:semiHidden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rFonts w:eastAsiaTheme="minorEastAsia"/>
      <w:sz w:val="18"/>
      <w:lang w:eastAsia="zh-CN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sz w:val="18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sz w:val="18"/>
    </w:rPr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urier New" w:hAnsi="Courier New" w:cs="Courier New"/>
    </w:rPr>
  </w:style>
  <w:style w:type="paragraph" w:styleId="Title">
    <w:name w:val="Title"/>
    <w:basedOn w:val="Normal"/>
    <w:link w:val="TitleChar"/>
    <w:semiHidden/>
    <w:pPr>
      <w:spacing w:before="240" w:after="60"/>
      <w:jc w:val="center"/>
      <w:outlineLvl w:val="0"/>
    </w:pPr>
    <w:rPr>
      <w:rFonts w:ascii="Arial" w:hAnsi="Arial" w:eastAsiaTheme="minorEastAsia" w:cs="Arial"/>
      <w:b/>
      <w:bCs/>
      <w:kern w:val="28"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semiHidden/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Pr>
      <w:i/>
      <w:iCs/>
    </w:rPr>
  </w:style>
  <w:style w:type="character" w:customStyle="1" w:styleId="Heading1Char">
    <w:name w:val="Heading 1 Char"/>
    <w:aliases w:val="Cuadro_G Char"/>
    <w:basedOn w:val="DefaultParagraphFont"/>
    <w:link w:val="Heading1"/>
    <w:rPr>
      <w:lang w:val="fr-CH" w:eastAsia="en-US"/>
    </w:rPr>
  </w:style>
  <w:style w:type="character" w:customStyle="1" w:styleId="SingleTxtGChar">
    <w:name w:val="_ Single Txt_G Char"/>
    <w:link w:val="SingleTxt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AA41B-8BBD-4ED5-B98B-35342D9B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A/se/sd</dc:title>
  <dc:creator>Maria De La Gloria De La Rosa Tello</dc:creator>
  <cp:lastModifiedBy>Ahid Manja</cp:lastModifiedBy>
  <cp:revision>2</cp:revision>
  <cp:lastPrinted>2014-10-30T12:22:00Z</cp:lastPrinted>
  <dcterms:created xsi:type="dcterms:W3CDTF">2019-11-18T15:10:00Z</dcterms:created>
  <dcterms:modified xsi:type="dcterms:W3CDTF">2019-11-18T15:09:00Z</dcterms:modified>
</cp:coreProperties>
</file>