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word/styles.xml" ContentType="application/vnd.openxmlformats-officedocument.wordprocessingml.styles+xml"/>
  <ns0:Override PartName="/word/header1.xml" ContentType="application/vnd.openxmlformats-officedocument.wordprocessingml.header+xml"/>
  <ns0:Override PartName="/word/footer1.xml" ContentType="application/vnd.openxmlformats-officedocument.wordprocessingml.footer+xml"/>
</ns0:Types>
</file>

<file path=_rels/.rels><?xml version='1.0' encoding='utf-8'?>
<ns0:Relationships xmlns:ns0="http://schemas.openxmlformats.org/package/2006/relationships"><ns0:Relationship Id="rId1" Type="http://schemas.openxmlformats.org/officeDocument/2006/relationships/officeDocument" Target="word/document.xml" /></ns0:Relationships>
</file>

<file path=word/document.xml><?xml version="1.0" encoding="utf-8"?>
<ns0:document xmlns:ns0="http://schemas.openxmlformats.org/wordprocessingml/2006/main" xmlns:ns1="http://schemas.openxmlformats.org/officeDocument/2006/relationships" xmlns:w="http://schemas.openxmlformats.org/wordprocessingml/2006/main" xmlns:r="http://schemas.openxmlformats.org/officeDocument/2006/relationships">
  <ns0:body>
    <ns0:p>
      <ns0:pPr>
        <ns0:pStyle ns0:val="Kicker"/>
        <ns0:spacing ns0:after="130"/>
      </ns0:pPr>
      <ns0:r>
        <ns0:rPr/>
        <ns0:t>INFORME EJECUTIVO</ns0:t>
      </ns0:r>
    </ns0:p>
    <ns0:p>
      <ns0:pPr>
        <ns0:pStyle ns0:val="Title"/>
        <ns0:spacing ns0:after="180"/>
      </ns0:pPr>
      <ns0:r>
        <ns0:rPr/>
        <ns0:t>Por qué conviene gestionar los contadores con el sistema y no solo con Excel</ns0:t>
      </ns0:r>
    </ns0:p>
    <ns0:p>
      <ns0:pPr>
        <ns0:pStyle ns0:val="Subtitle"/>
        <ns0:spacing ns0:after="90"/>
      </ns0:pPr>
      <ns0:r>
        <ns0:rPr/>
        <ns0:t>Evaluación del sistema de administración de impresoras HP</ns0:t>
      </ns0:r>
    </ns0:p>
    <ns0:p>
      <ns0:pPr>
        <ns0:pStyle ns0:val="Meta"/>
        <ns0:spacing ns0:after="260"/>
      </ns0:pPr>
      <ns0:r>
        <ns0:rPr/>
        <ns0:t>Dirigido a: Gerencia  |  Fecha: 9 de octubre de 2026</ns0:t>
      </ns0:r>
    </ns0:p>
    <ns0:p>
      <ns0:pPr>
        <ns0:pStyle ns0:val="Heading1"/>
        <ns0:spacing ns0:after="100"/>
      </ns0:pPr>
      <ns0:r>
        <ns0:rPr/>
        <ns0:t>RESUMEN EJECUTIVO</ns0:t>
      </ns0:r>
    </ns0:p>
    <ns0:p>
      <ns0:pPr>
        <ns0:spacing ns0:after="120"/>
      </ns0:pPr>
      <ns0:r>
        <ns0:rPr/>
        <ns0:t>El proyecto analizado convierte los datos de impresoras y sus contadores en una operación centralizada: PostgreSQL conserva el catálogo y los registros históricos; un backend Django expone las funciones mediante API; y una interfaz web permite consultar, filtrar y mantener la información. También integra consultas de HP Web Jetadmin y reportes mensuales que hoy llegan en Excel.</ns0:t>
      </ns0:r>
    </ns0:p>
    <ns0:p>
      <ns0:pPr>
        <ns0:spacing ns0:after="140"/>
      </ns0:pPr>
      <ns0:r>
        <ns0:rPr/>
        <ns0:t>La ventaja frente a trabajar únicamente con hojas de cálculo no es «eliminar Excel», sino dejar de depender de archivos independientes como repositorio principal. El sistema reduce la dispersión, permite consultar una referencia común, conserva snapshots de consultas y periodos, aplica reglas de importación y facilita el seguimiento operativo. A la vez, sigue admitiendo Excel como formato práctico de entrada y salida.</ns0:t>
      </ns0:r>
    </ns0:p>
    <ns0:tbl>
      <ns0:tblPr>
        <ns0:tblW ns0:w="9000" ns0:type="dxa"/>
        <ns0:tblLayout ns0:type="fixed"/>
        <ns0:tblBorders>
          <ns0:top ns0:val="single" ns0:sz="4" ns0:space="0" ns0:color="D7E1E8"/>
          <ns0:left ns0:val="single" ns0:sz="4" ns0:space="0" ns0:color="D7E1E8"/>
          <ns0:bottom ns0:val="single" ns0:sz="4" ns0:space="0" ns0:color="D7E1E8"/>
          <ns0:right ns0:val="single" ns0:sz="4" ns0:space="0" ns0:color="D7E1E8"/>
          <ns0:insideH ns0:val="single" ns0:sz="4" ns0:space="0" ns0:color="D7E1E8"/>
          <ns0:insideV ns0:val="single" ns0:sz="4" ns0:space="0" ns0:color="D7E1E8"/>
        </ns0:tblBorders>
      </ns0:tblPr>
      <ns0:tblGrid>
        <ns0:gridCol ns0:w="2500"/>
        <ns0:gridCol ns0:w="6500"/>
      </ns0:tblGrid>
      <ns0:tr>
        <ns0:tc>
          <ns0:tcPr>
            <ns0:tcW ns0:w="2500" ns0:type="dxa"/>
            <ns0:shd ns0:fill="F2F7FA" ns0:val="clear"/>
          </ns0:tcPr>
          <ns0:p>
            <ns0:pPr>
              <ns0:spacing ns0:before="45" ns0:after="45"/>
            </ns0:pPr>
            <ns0:r>
              <ns0:rPr>
                <ns0:sz ns0:val="20"/>
              </ns0:rPr>
              <ns0:t>Conclusión para decisión</ns0:t>
            </ns0:r>
          </ns0:p>
        </ns0:tc>
        <ns0:tc>
          <ns0:tcPr>
            <ns0:tcW ns0:w="6500" ns0:type="dxa"/>
            <ns0:shd ns0:fill="F2F7FA" ns0:val="clear"/>
          </ns0:tcPr>
          <ns0:p>
            <ns0:pPr>
              <ns0:spacing ns0:before="45" ns0:after="45"/>
            </ns0:pPr>
            <ns0:r>
              <ns0:rPr>
                <ns0:sz ns0:val="20"/>
              </ns0:rPr>
              <ns0:t>El sistema aporta valor cuando se utiliza como fuente central y se mantienen controles de acceso, respaldo y operación.</ns0:t>
            </ns0:r>
          </ns0:p>
        </ns0:tc>
      </ns0:tr>
      <ns0:tr>
        <ns0:tc>
          <ns0:tcPr>
            <ns0:tcW ns0:w="2500" ns0:type="dxa"/>
          </ns0:tcPr>
          <ns0:p>
            <ns0:pPr>
              <ns0:spacing ns0:before="45" ns0:after="45"/>
            </ns0:pPr>
            <ns0:r>
              <ns0:rPr>
                <ns0:sz ns0:val="20"/>
              </ns0:rPr>
              <ns0:t>Beneficio más directo</ns0:t>
            </ns0:r>
          </ns0:p>
        </ns0:tc>
        <ns0:tc>
          <ns0:tcPr>
            <ns0:tcW ns0:w="6500" ns0:type="dxa"/>
          </ns0:tcPr>
          <ns0:p>
            <ns0:pPr>
              <ns0:spacing ns0:before="45" ns0:after="45"/>
            </ns0:pPr>
            <ns0:r>
              <ns0:rPr>
                <ns0:sz ns0:val="20"/>
              </ns0:rPr>
              <ns0:t>Menos consolidación manual; consulta por periodo, región, oficina, categoría, estado, IP o equipo desde una misma aplicación.</ns0:t>
            </ns0:r>
          </ns0:p>
        </ns0:tc>
      </ns0:tr>
      <ns0:tr>
        <ns0:tc>
          <ns0:tcPr>
            <ns0:tcW ns0:w="2500" ns0:type="dxa"/>
            <ns0:shd ns0:fill="F2F7FA" ns0:val="clear"/>
          </ns0:tcPr>
          <ns0:p>
            <ns0:pPr>
              <ns0:spacing ns0:before="45" ns0:after="45"/>
            </ns0:pPr>
            <ns0:r>
              <ns0:rPr>
                <ns0:sz ns0:val="20"/>
              </ns0:rPr>
              <ns0:t>Criterio de continuidad</ns0:t>
            </ns0:r>
          </ns0:p>
        </ns0:tc>
        <ns0:tc>
          <ns0:tcPr>
            <ns0:tcW ns0:w="6500" ns0:type="dxa"/>
            <ns0:shd ns0:fill="F2F7FA" ns0:val="clear"/>
          </ns0:tcPr>
          <ns0:p>
            <ns0:pPr>
              <ns0:spacing ns0:before="45" ns0:after="45"/>
            </ns0:pPr>
            <ns0:r>
              <ns0:rPr>
                <ns0:sz ns0:val="20"/>
              </ns0:rPr>
              <ns0:t>Mantener Excel como formato de intercambio y análisis puntual; no como única copia maestra ni mecanismo de coordinación.</ns0:t>
            </ns0:r>
          </ns0:p>
        </ns0:tc>
      </ns0:tr>
    </ns0:tbl>
    <ns0:p>
      <ns0:pPr>
        <ns0:spacing ns0:after="70"/>
      </ns0:pPr>
    </ns0:p>
    <ns0:p>
      <ns0:pPr>
        <ns0:pStyle ns0:val="Heading2"/>
        <ns0:spacing ns0:after="100"/>
        <ns0:keepNext/>
      </ns0:pPr>
      <ns0:r>
        <ns0:rPr/>
        <ns0:t>Recomendación</ns0:t>
      </ns0:r>
    </ns0:p>
    <ns0:p>
      <ns0:pPr>
        <ns0:spacing ns0:after="100"/>
      </ns0:pPr>
      <ns0:r>
        <ns0:rPr/>
        <ns0:t>Respaldar y extender el uso del sistema como registro operativo oficial de impresoras y contadores, conservar los reportes Excel como fuente/intercambio donde corresponda, y formalizar un procedimiento de importación, revisión, respaldo y recuperación.</ns0:t>
      </ns0:r>
    </ns0:p>
    <ns0:p>
      <ns0:r>
        <ns0:br ns0:type="page"/>
      </ns0:r>
    </ns0:p>
    <ns0:p>
      <ns0:pPr>
        <ns0:pStyle ns0:val="Heading1"/>
        <ns0:spacing ns0:after="100"/>
        <ns0:keepNext/>
      </ns0:pPr>
      <ns0:r>
        <ns0:rPr/>
        <ns0:t>1. Qué hace el sistema actual</ns0:t>
      </ns0:r>
    </ns0:p>
    <ns0:p>
      <ns0:pPr/>
      <ns0:r>
        <ns0:rPr/>
        <ns0:t>La revisión del código y la documentación del proyecto muestra una aplicación con tres piezas:</ns0:t>
      </ns0:r>
    </ns0:p>
    <ns0:p>
      <ns0:pPr>
        <ns0:pStyle ns0:val="Bullet"/>
        <ns0:spacing ns0:after="50"/>
      </ns0:pPr>
      <ns0:r>
        <ns0:rPr>
          <ns0:b/>
          <ns0:color ns0:val="167D9A"/>
        </ns0:rPr>
        <ns0:t xml:space="preserve">•  </ns0:t>
      </ns0:r>
      <ns0:r>
        <ns0:rPr/>
        <ns0:t>Interfaz web React: presenta los módulos de contadores mensuales, consulta de HP Web Jetadmin y catálogos; incluye filtros, búsqueda, paginación, totales y gráficas por periodo.</ns0:t>
      </ns0:r>
    </ns0:p>
    <ns0:p>
      <ns0:pPr>
        <ns0:pStyle ns0:val="Bullet"/>
        <ns0:spacing ns0:after="50"/>
      </ns0:pPr>
      <ns0:r>
        <ns0:rPr>
          <ns0:b/>
          <ns0:color ns0:val="167D9A"/>
        </ns0:rPr>
        <ns0:t xml:space="preserve">•  </ns0:t>
      </ns0:r>
      <ns0:r>
        <ns0:rPr/>
        <ns0:t>Backend Django y API REST: valida solicitudes, aplica permisos, procesa búsquedas y agregaciones, importa archivos .xlsx y genera exportaciones en Excel.</ns0:t>
      </ns0:r>
    </ns0:p>
    <ns0:p>
      <ns0:pPr>
        <ns0:pStyle ns0:val="Bullet"/>
        <ns0:spacing ns0:after="50"/>
      </ns0:pPr>
      <ns0:r>
        <ns0:rPr>
          <ns0:b/>
          <ns0:color ns0:val="167D9A"/>
        </ns0:rPr>
        <ns0:t xml:space="preserve">•  </ns0:t>
      </ns0:r>
      <ns0:r>
        <ns0:rPr/>
        <ns0:t>PostgreSQL como base central: relaciona oficinas, impresoras, contadores mensuales y snapshots de cada consulta de dispositivos.</ns0:t>
      </ns0:r>
    </ns0:p>
    <ns0:p>
      <ns0:pPr>
        <ns0:pStyle ns0:val="Heading2"/>
        <ns0:spacing ns0:after="100"/>
        <ns0:keepNext/>
      </ns0:pPr>
      <ns0:r>
        <ns0:rPr/>
        <ns0:t>Flujo de datos</ns0:t>
      </ns0:r>
    </ns0:p>
    <ns0:tbl>
      <ns0:tblPr>
        <ns0:tblW ns0:w="9000" ns0:type="dxa"/>
        <ns0:tblLayout ns0:type="fixed"/>
        <ns0:tblBorders>
          <ns0:top ns0:val="single" ns0:sz="4" ns0:space="0" ns0:color="D7E1E8"/>
          <ns0:left ns0:val="single" ns0:sz="4" ns0:space="0" ns0:color="D7E1E8"/>
          <ns0:bottom ns0:val="single" ns0:sz="4" ns0:space="0" ns0:color="D7E1E8"/>
          <ns0:right ns0:val="single" ns0:sz="4" ns0:space="0" ns0:color="D7E1E8"/>
          <ns0:insideH ns0:val="single" ns0:sz="4" ns0:space="0" ns0:color="D7E1E8"/>
          <ns0:insideV ns0:val="single" ns0:sz="4" ns0:space="0" ns0:color="D7E1E8"/>
        </ns0:tblBorders>
      </ns0:tblPr>
      <ns0:tblGrid>
        <ns0:gridCol ns0:w="2100"/>
        <ns0:gridCol ns0:w="6900"/>
      </ns0:tblGrid>
      <ns0:tr>
        <ns0:tc>
          <ns0:tcPr>
            <ns0:tcW ns0:w="2100" ns0:type="dxa"/>
            <ns0:shd ns0:fill="16324F" ns0:val="clear"/>
          </ns0:tcPr>
          <ns0:p>
            <ns0:pPr>
              <ns0:spacing ns0:before="45" ns0:after="45"/>
            </ns0:pPr>
            <ns0:r>
              <ns0:rPr>
                <ns0:b/>
                <ns0:color ns0:val="FFFFFF"/>
                <ns0:sz ns0:val="19"/>
              </ns0:rPr>
              <ns0:t>Origen / operación</ns0:t>
            </ns0:r>
          </ns0:p>
        </ns0:tc>
        <ns0:tc>
          <ns0:tcPr>
            <ns0:tcW ns0:w="6900" ns0:type="dxa"/>
            <ns0:shd ns0:fill="16324F" ns0:val="clear"/>
          </ns0:tcPr>
          <ns0:p>
            <ns0:pPr>
              <ns0:spacing ns0:before="45" ns0:after="45"/>
            </ns0:pPr>
            <ns0:r>
              <ns0:rPr>
                <ns0:b/>
                <ns0:color ns0:val="FFFFFF"/>
                <ns0:sz ns0:val="19"/>
              </ns0:rPr>
              <ns0:t>Qué ocurre en el sistema</ns0:t>
            </ns0:r>
          </ns0:p>
        </ns0:tc>
      </ns0:tr>
      <ns0:tr>
        <ns0:tc>
          <ns0:tcPr>
            <ns0:tcW ns0:w="2100" ns0:type="dxa"/>
          </ns0:tcPr>
          <ns0:p>
            <ns0:pPr>
              <ns0:spacing ns0:before="45" ns0:after="45"/>
            </ns0:pPr>
            <ns0:r>
              <ns0:rPr>
                <ns0:sz ns0:val="19"/>
              </ns0:rPr>
              <ns0:t>HP Web Jetadmin</ns0:t>
            </ns0:r>
          </ns0:p>
        </ns0:tc>
        <ns0:tc>
          <ns0:tcPr>
            <ns0:tcW ns0:w="6900" ns0:type="dxa"/>
          </ns0:tcPr>
          <ns0:p>
            <ns0:pPr>
              <ns0:spacing ns0:before="45" ns0:after="45"/>
            </ns0:pPr>
            <ns0:r>
              <ns0:rPr>
                <ns0:sz ns0:val="19"/>
              </ns0:rPr>
              <ns0:t>Una consulta obtiene modelo, nombre, IP, páginas, severidad, serial y ubicación desde SQL Server; el resultado se guarda en PostgreSQL como una ejecución con su fecha, resultado y snapshots.</ns0:t>
            </ns0:r>
          </ns0:p>
        </ns0:tc>
      </ns0:tr>
      <ns0:tr>
        <ns0:tc>
          <ns0:tcPr>
            <ns0:tcW ns0:w="2100" ns0:type="dxa"/>
            <ns0:shd ns0:fill="F2F7FA" ns0:val="clear"/>
          </ns0:tcPr>
          <ns0:p>
            <ns0:pPr>
              <ns0:spacing ns0:before="45" ns0:after="45"/>
            </ns0:pPr>
            <ns0:r>
              <ns0:rPr>
                <ns0:sz ns0:val="19"/>
              </ns0:rPr>
              <ns0:t>Reporte mensual Excel</ns0:t>
            </ns0:r>
          </ns0:p>
        </ns0:tc>
        <ns0:tc>
          <ns0:tcPr>
            <ns0:tcW ns0:w="6900" ns0:type="dxa"/>
            <ns0:shd ns0:fill="F2F7FA" ns0:val="clear"/>
          </ns0:tcPr>
          <ns0:p>
            <ns0:pPr>
              <ns0:spacing ns0:before="45" ns0:after="45"/>
            </ns0:pPr>
            <ns0:r>
              <ns0:rPr>
                <ns0:sz ns0:val="19"/>
              </ns0:rPr>
              <ns0:t>Se importa el reporte de Oficina o Torre. El importador reconoce encabezados aunque varíe su orden o acentuación, interpreta contadores y periodo, y relaciona las filas con el catálogo de impresoras/oficinas.</ns0:t>
            </ns0:r>
          </ns0:p>
        </ns0:tc>
      </ns0:tr>
      <ns0:tr>
        <ns0:tc>
          <ns0:tcPr>
            <ns0:tcW ns0:w="2100" ns0:type="dxa"/>
          </ns0:tcPr>
          <ns0:p>
            <ns0:pPr>
              <ns0:spacing ns0:before="45" ns0:after="45"/>
            </ns0:pPr>
            <ns0:r>
              <ns0:rPr>
                <ns0:sz ns0:val="19"/>
              </ns0:rPr>
              <ns0:t>Consulta y seguimiento</ns0:t>
            </ns0:r>
          </ns0:p>
        </ns0:tc>
        <ns0:tc>
          <ns0:tcPr>
            <ns0:tcW ns0:w="6900" ns0:type="dxa"/>
          </ns0:tcPr>
          <ns0:p>
            <ns0:pPr>
              <ns0:spacing ns0:before="45" ns0:after="45"/>
            </ns0:pPr>
            <ns0:r>
              <ns0:rPr>
                <ns0:sz ns0:val="19"/>
              </ns0:rPr>
              <ns0:t>La web permite revisar contadores, filtrar datos, ver totales y tendencia mensual, detectar equipos activos que no aparecen en HP Web Jetadmin y consultar historial de capturas.</ns0:t>
            </ns0:r>
          </ns0:p>
        </ns0:tc>
      </ns0:tr>
      <ns0:tr>
        <ns0:tc>
          <ns0:tcPr>
            <ns0:tcW ns0:w="2100" ns0:type="dxa"/>
            <ns0:shd ns0:fill="F2F7FA" ns0:val="clear"/>
          </ns0:tcPr>
          <ns0:p>
            <ns0:pPr>
              <ns0:spacing ns0:before="45" ns0:after="45"/>
            </ns0:pPr>
            <ns0:r>
              <ns0:rPr>
                <ns0:sz ns0:val="19"/>
              </ns0:rPr>
              <ns0:t>Salida y mantenimiento</ns0:t>
            </ns0:r>
          </ns0:p>
        </ns0:tc>
        <ns0:tc>
          <ns0:tcPr>
            <ns0:tcW ns0:w="6900" ns0:type="dxa"/>
            <ns0:shd ns0:fill="F2F7FA" ns0:val="clear"/>
          </ns0:tcPr>
          <ns0:p>
            <ns0:pPr>
              <ns0:spacing ns0:before="45" ns0:after="45"/>
            </ns0:pPr>
            <ns0:r>
              <ns0:rPr>
                <ns0:sz ns0:val="19"/>
              </ns0:rPr>
              <ns0:t>Se pueden exportar resultados filtrados a .xlsx; los administradores pueden editar registros y catálogos según los permisos establecidos.</ns0:t>
            </ns0:r>
          </ns0:p>
        </ns0:tc>
      </ns0:tr>
    </ns0:tbl>
    <ns0:p>
      <ns0:pPr>
        <ns0:spacing ns0:after="70"/>
      </ns0:pPr>
    </ns0:p>
    <ns0:p>
      <ns0:pPr>
        <ns0:spacing ns0:after="90"/>
      </ns0:pPr>
      <ns0:r>
        <ns0:rPr/>
        <ns0:t>Detalle útil: el importador ofrece modo --dry-run para revisar cuántas filas cargaría antes de guardar. Para reimportaciones, busca la impresora por serial o IP y actualiza la entrada mensual existente asociada a ese equipo y periodo, en lugar de crearla de nuevo.</ns0:t>
      </ns0:r>
    </ns0:p>
    <ns0:p>
      <ns0:r>
        <ns0:br ns0:type="page"/>
      </ns0:r>
    </ns0:p>
    <ns0:p>
      <ns0:pPr>
        <ns0:pStyle ns0:val="Heading1"/>
        <ns0:spacing ns0:after="100"/>
        <ns0:keepNext/>
      </ns0:pPr>
      <ns0:r>
        <ns0:rPr/>
        <ns0:t>2. Ventajas frente a usar solo Excel</ns0:t>
      </ns0:r>
    </ns0:p>
    <ns0:tbl>
      <ns0:tblPr>
        <ns0:tblW ns0:w="9000" ns0:type="dxa"/>
        <ns0:tblLayout ns0:type="fixed"/>
        <ns0:tblBorders>
          <ns0:top ns0:val="single" ns0:sz="4" ns0:space="0" ns0:color="D7E1E8"/>
          <ns0:left ns0:val="single" ns0:sz="4" ns0:space="0" ns0:color="D7E1E8"/>
          <ns0:bottom ns0:val="single" ns0:sz="4" ns0:space="0" ns0:color="D7E1E8"/>
          <ns0:right ns0:val="single" ns0:sz="4" ns0:space="0" ns0:color="D7E1E8"/>
          <ns0:insideH ns0:val="single" ns0:sz="4" ns0:space="0" ns0:color="D7E1E8"/>
          <ns0:insideV ns0:val="single" ns0:sz="4" ns0:space="0" ns0:color="D7E1E8"/>
        </ns0:tblBorders>
      </ns0:tblPr>
      <ns0:tblGrid>
        <ns0:gridCol ns0:w="1650"/>
        <ns0:gridCol ns0:w="3675"/>
        <ns0:gridCol ns0:w="3675"/>
      </ns0:tblGrid>
      <ns0:tr>
        <ns0:tc>
          <ns0:tcPr>
            <ns0:tcW ns0:w="1650" ns0:type="dxa"/>
            <ns0:shd ns0:fill="16324F" ns0:val="clear"/>
          </ns0:tcPr>
          <ns0:p>
            <ns0:pPr>
              <ns0:spacing ns0:before="45" ns0:after="45"/>
            </ns0:pPr>
            <ns0:r>
              <ns0:rPr>
                <ns0:b/>
                <ns0:color ns0:val="FFFFFF"/>
                <ns0:sz ns0:val="17"/>
              </ns0:rPr>
              <ns0:t>Aspecto</ns0:t>
            </ns0:r>
          </ns0:p>
        </ns0:tc>
        <ns0:tc>
          <ns0:tcPr>
            <ns0:tcW ns0:w="3675" ns0:type="dxa"/>
            <ns0:shd ns0:fill="16324F" ns0:val="clear"/>
          </ns0:tcPr>
          <ns0:p>
            <ns0:pPr>
              <ns0:spacing ns0:before="45" ns0:after="45"/>
            </ns0:pPr>
            <ns0:r>
              <ns0:rPr>
                <ns0:b/>
                <ns0:color ns0:val="FFFFFF"/>
                <ns0:sz ns0:val="17"/>
              </ns0:rPr>
              <ns0:t>Sistema centralizado</ns0:t>
            </ns0:r>
          </ns0:p>
        </ns0:tc>
        <ns0:tc>
          <ns0:tcPr>
            <ns0:tcW ns0:w="3675" ns0:type="dxa"/>
            <ns0:shd ns0:fill="16324F" ns0:val="clear"/>
          </ns0:tcPr>
          <ns0:p>
            <ns0:pPr>
              <ns0:spacing ns0:before="45" ns0:after="45"/>
            </ns0:pPr>
            <ns0:r>
              <ns0:rPr>
                <ns0:b/>
                <ns0:color ns0:val="FFFFFF"/>
                <ns0:sz ns0:val="17"/>
              </ns0:rPr>
              <ns0:t>Solo archivos Excel</ns0:t>
            </ns0:r>
          </ns0:p>
        </ns0:tc>
      </ns0:tr>
      <ns0:tr>
        <ns0:tc>
          <ns0:tcPr>
            <ns0:tcW ns0:w="1650" ns0:type="dxa"/>
          </ns0:tcPr>
          <ns0:p>
            <ns0:pPr>
              <ns0:spacing ns0:before="45" ns0:after="45"/>
            </ns0:pPr>
            <ns0:r>
              <ns0:rPr>
                <ns0:sz ns0:val="17"/>
              </ns0:rPr>
              <ns0:t>Fuente de información</ns0:t>
            </ns0:r>
          </ns0:p>
        </ns0:tc>
        <ns0:tc>
          <ns0:tcPr>
            <ns0:tcW ns0:w="3675" ns0:type="dxa"/>
          </ns0:tcPr>
          <ns0:p>
            <ns0:pPr>
              <ns0:spacing ns0:before="45" ns0:after="45"/>
            </ns0:pPr>
            <ns0:r>
              <ns0:rPr>
                <ns0:sz ns0:val="17"/>
              </ns0:rPr>
              <ns0:t>Registros en una base común, con catálogos de impresoras y oficinas y relaciones entre ellos.</ns0:t>
            </ns0:r>
          </ns0:p>
        </ns0:tc>
        <ns0:tc>
          <ns0:tcPr>
            <ns0:tcW ns0:w="3675" ns0:type="dxa"/>
          </ns0:tcPr>
          <ns0:p>
            <ns0:pPr>
              <ns0:spacing ns0:before="45" ns0:after="45"/>
            </ns0:pPr>
            <ns0:r>
              <ns0:rPr>
                <ns0:sz ns0:val="17"/>
              </ns0:rPr>
              <ns0:t>Copias de archivos pueden divergir; alguien debe identificar cuál es la versión vigente.</ns0:t>
            </ns0:r>
          </ns0:p>
        </ns0:tc>
      </ns0:tr>
      <ns0:tr>
        <ns0:tc>
          <ns0:tcPr>
            <ns0:tcW ns0:w="1650" ns0:type="dxa"/>
            <ns0:shd ns0:fill="F2F7FA" ns0:val="clear"/>
          </ns0:tcPr>
          <ns0:p>
            <ns0:pPr>
              <ns0:spacing ns0:before="45" ns0:after="45"/>
            </ns0:pPr>
            <ns0:r>
              <ns0:rPr>
                <ns0:sz ns0:val="17"/>
              </ns0:rPr>
              <ns0:t>Consulta cotidiana</ns0:t>
            </ns0:r>
          </ns0:p>
        </ns0:tc>
        <ns0:tc>
          <ns0:tcPr>
            <ns0:tcW ns0:w="3675" ns0:type="dxa"/>
            <ns0:shd ns0:fill="F2F7FA" ns0:val="clear"/>
          </ns0:tcPr>
          <ns0:p>
            <ns0:pPr>
              <ns0:spacing ns0:before="45" ns0:after="45"/>
            </ns0:pPr>
            <ns0:r>
              <ns0:rPr>
                <ns0:sz ns0:val="17"/>
              </ns0:rPr>
              <ns0:t>Filtros por periodo, región, categoría, estado y oficina; búsqueda por IP, nombre, serial u oficina, con paginación.</ns0:t>
            </ns0:r>
          </ns0:p>
        </ns0:tc>
        <ns0:tc>
          <ns0:tcPr>
            <ns0:tcW ns0:w="3675" ns0:type="dxa"/>
            <ns0:shd ns0:fill="F2F7FA" ns0:val="clear"/>
          </ns0:tcPr>
          <ns0:p>
            <ns0:pPr>
              <ns0:spacing ns0:before="45" ns0:after="45"/>
            </ns0:pPr>
            <ns0:r>
              <ns0:rPr>
                <ns0:sz ns0:val="17"/>
              </ns0:rPr>
              <ns0:t>Requiere abrir archivos, preparar filtros y consolidar hojas cuando los datos están separados.</ns0:t>
            </ns0:r>
          </ns0:p>
        </ns0:tc>
      </ns0:tr>
      <ns0:tr>
        <ns0:tc>
          <ns0:tcPr>
            <ns0:tcW ns0:w="1650" ns0:type="dxa"/>
          </ns0:tcPr>
          <ns0:p>
            <ns0:pPr>
              <ns0:spacing ns0:before="45" ns0:after="45"/>
            </ns0:pPr>
            <ns0:r>
              <ns0:rPr>
                <ns0:sz ns0:val="17"/>
              </ns0:rPr>
              <ns0:t>Histórico</ns0:t>
            </ns0:r>
          </ns0:p>
        </ns0:tc>
        <ns0:tc>
          <ns0:tcPr>
            <ns0:tcW ns0:w="3675" ns0:type="dxa"/>
          </ns0:tcPr>
          <ns0:p>
            <ns0:pPr>
              <ns0:spacing ns0:before="45" ns0:after="45"/>
            </ns0:pPr>
            <ns0:r>
              <ns0:rPr>
                <ns0:sz ns0:val="17"/>
              </ns0:rPr>
              <ns0:t>Guarda ejecuciones de Web Jetadmin con fecha, estado y snapshots; mantiene contadores mensuales por periodo y capturas de IP/estado del periodo.</ns0:t>
            </ns0:r>
          </ns0:p>
        </ns0:tc>
        <ns0:tc>
          <ns0:tcPr>
            <ns0:tcW ns0:w="3675" ns0:type="dxa"/>
          </ns0:tcPr>
          <ns0:p>
            <ns0:pPr>
              <ns0:spacing ns0:before="45" ns0:after="45"/>
            </ns0:pPr>
            <ns0:r>
              <ns0:rPr>
                <ns0:sz ns0:val="17"/>
              </ns0:rPr>
              <ns0:t>El histórico depende de conservar y nombrar correctamente cada archivo, y de que no se sobrescriba por error.</ns0:t>
            </ns0:r>
          </ns0:p>
        </ns0:tc>
      </ns0:tr>
      <ns0:tr>
        <ns0:tc>
          <ns0:tcPr>
            <ns0:tcW ns0:w="1650" ns0:type="dxa"/>
            <ns0:shd ns0:fill="F2F7FA" ns0:val="clear"/>
          </ns0:tcPr>
          <ns0:p>
            <ns0:pPr>
              <ns0:spacing ns0:before="45" ns0:after="45"/>
            </ns0:pPr>
            <ns0:r>
              <ns0:rPr>
                <ns0:sz ns0:val="17"/>
              </ns0:rPr>
              <ns0:t>Consistencia</ns0:t>
            </ns0:r>
          </ns0:p>
        </ns0:tc>
        <ns0:tc>
          <ns0:tcPr>
            <ns0:tcW ns0:w="3675" ns0:type="dxa"/>
            <ns0:shd ns0:fill="F2F7FA" ns0:val="clear"/>
          </ns0:tcPr>
          <ns0:p>
            <ns0:pPr>
              <ns0:spacing ns0:before="45" ns0:after="45"/>
            </ns0:pPr>
            <ns0:r>
              <ns0:rPr>
                <ns0:sz ns0:val="17"/>
              </ns0:rPr>
              <ns0:t>Modelos y reglas comunes; el importador normaliza encabezados y estados, y evita duplicar al reimportar el mismo equipo/periodo.</ns0:t>
            </ns0:r>
          </ns0:p>
        </ns0:tc>
        <ns0:tc>
          <ns0:tcPr>
            <ns0:tcW ns0:w="3675" ns0:type="dxa"/>
            <ns0:shd ns0:fill="F2F7FA" ns0:val="clear"/>
          </ns0:tcPr>
          <ns0:p>
            <ns0:pPr>
              <ns0:spacing ns0:before="45" ns0:after="45"/>
            </ns0:pPr>
            <ns0:r>
              <ns0:rPr>
                <ns0:sz ns0:val="17"/>
              </ns0:rPr>
              <ns0:t>Fórmulas, nombres, formatos y criterios pueden cambiar entre libros o entre personas.</ns0:t>
            </ns0:r>
          </ns0:p>
        </ns0:tc>
      </ns0:tr>
      <ns0:tr>
        <ns0:tc>
          <ns0:tcPr>
            <ns0:tcW ns0:w="1650" ns0:type="dxa"/>
          </ns0:tcPr>
          <ns0:p>
            <ns0:pPr>
              <ns0:spacing ns0:before="45" ns0:after="45"/>
            </ns0:pPr>
            <ns0:r>
              <ns0:rPr>
                <ns0:sz ns0:val="17"/>
              </ns0:rPr>
              <ns0:t>Análisis</ns0:t>
            </ns0:r>
          </ns0:p>
        </ns0:tc>
        <ns0:tc>
          <ns0:tcPr>
            <ns0:tcW ns0:w="3675" ns0:type="dxa"/>
          </ns0:tcPr>
          <ns0:p>
            <ns0:pPr>
              <ns0:spacing ns0:before="45" ns0:after="45"/>
            </ns0:pPr>
            <ns0:r>
              <ns0:rPr>
                <ns0:sz ns0:val="17"/>
              </ns0:rPr>
              <ns0:t>Suma de contadores para filtros, gráfica mensual, alertas y consulta de historial desde la aplicación.</ns0:t>
            </ns0:r>
          </ns0:p>
        </ns0:tc>
        <ns0:tc>
          <ns0:tcPr>
            <ns0:tcW ns0:w="3675" ns0:type="dxa"/>
          </ns0:tcPr>
          <ns0:p>
            <ns0:pPr>
              <ns0:spacing ns0:before="45" ns0:after="45"/>
            </ns0:pPr>
            <ns0:r>
              <ns0:rPr>
                <ns0:sz ns0:val="17"/>
              </ns0:rPr>
              <ns0:t>El análisis depende de fórmulas, tablas dinámicas o trabajo manual bien mantenido.</ns0:t>
            </ns0:r>
          </ns0:p>
        </ns0:tc>
      </ns0:tr>
      <ns0:tr>
        <ns0:tc>
          <ns0:tcPr>
            <ns0:tcW ns0:w="1650" ns0:type="dxa"/>
            <ns0:shd ns0:fill="F2F7FA" ns0:val="clear"/>
          </ns0:tcPr>
          <ns0:p>
            <ns0:pPr>
              <ns0:spacing ns0:before="45" ns0:after="45"/>
            </ns0:pPr>
            <ns0:r>
              <ns0:rPr>
                <ns0:sz ns0:val="17"/>
              </ns0:rPr>
              <ns0:t>Acceso y cambios</ns0:t>
            </ns0:r>
          </ns0:p>
        </ns0:tc>
        <ns0:tc>
          <ns0:tcPr>
            <ns0:tcW ns0:w="3675" ns0:type="dxa"/>
            <ns0:shd ns0:fill="F2F7FA" ns0:val="clear"/>
          </ns0:tcPr>
          <ns0:p>
            <ns0:pPr>
              <ns0:spacing ns0:before="45" ns0:after="45"/>
            </ns0:pPr>
            <ns0:r>
              <ns0:rPr>
                <ns0:sz ns0:val="17"/>
              </ns0:rPr>
              <ns0:t>Inicio de sesión; API autenticada; controles de administrador para operaciones de escritura y lectura según permisos.</ns0:t>
            </ns0:r>
          </ns0:p>
        </ns0:tc>
        <ns0:tc>
          <ns0:tcPr>
            <ns0:tcW ns0:w="3675" ns0:type="dxa"/>
            <ns0:shd ns0:fill="F2F7FA" ns0:val="clear"/>
          </ns0:tcPr>
          <ns0:p>
            <ns0:pPr>
              <ns0:spacing ns0:before="45" ns0:after="45"/>
            </ns0:pPr>
            <ns0:r>
              <ns0:rPr>
                <ns0:sz ns0:val="17"/>
              </ns0:rPr>
              <ns0:t>La protección suele depender de contraseñas/permisos de archivos y de la disciplina de compartir copias.</ns0:t>
            </ns0:r>
          </ns0:p>
        </ns0:tc>
      </ns0:tr>
      <ns0:tr>
        <ns0:tc>
          <ns0:tcPr>
            <ns0:tcW ns0:w="1650" ns0:type="dxa"/>
          </ns0:tcPr>
          <ns0:p>
            <ns0:pPr>
              <ns0:spacing ns0:before="45" ns0:after="45"/>
            </ns0:pPr>
            <ns0:r>
              <ns0:rPr>
                <ns0:sz ns0:val="17"/>
              </ns0:rPr>
              <ns0:t>Intercambio</ns0:t>
            </ns0:r>
          </ns0:p>
        </ns0:tc>
        <ns0:tc>
          <ns0:tcPr>
            <ns0:tcW ns0:w="3675" ns0:type="dxa"/>
          </ns0:tcPr>
          <ns0:p>
            <ns0:pPr>
              <ns0:spacing ns0:before="45" ns0:after="45"/>
            </ns0:pPr>
            <ns0:r>
              <ns0:rPr>
                <ns0:sz ns0:val="17"/>
              </ns0:rPr>
              <ns0:t>Importa reportes existentes y exporta resultados filtrados a Excel cuando se necesitan.</ns0:t>
            </ns0:r>
          </ns0:p>
        </ns0:tc>
        <ns0:tc>
          <ns0:tcPr>
            <ns0:tcW ns0:w="3675" ns0:type="dxa"/>
          </ns0:tcPr>
          <ns0:p>
            <ns0:pPr>
              <ns0:spacing ns0:before="45" ns0:after="45"/>
            </ns0:pPr>
            <ns0:r>
              <ns0:rPr>
                <ns0:sz ns0:val="17"/>
              </ns0:rPr>
              <ns0:t>Es flexible para edición individual, pero no coordina por sí mismo un registro empresarial común.</ns0:t>
            </ns0:r>
          </ns0:p>
        </ns0:tc>
      </ns0:tr>
    </ns0:tbl>
    <ns0:p>
      <ns0:pPr>
        <ns0:spacing ns0:after="70"/>
      </ns0:pPr>
    </ns0:p>
    <ns0:p>
      <ns0:pPr>
        <ns0:pStyle ns0:val="Heading2"/>
        <ns0:spacing ns0:after="100"/>
        <ns0:keepNext/>
      </ns0:pPr>
      <ns0:r>
        <ns0:rPr/>
        <ns0:t>Impacto para el equipo</ns0:t>
      </ns0:r>
    </ns0:p>
    <ns0:p>
      <ns0:pPr>
        <ns0:pStyle ns0:val="Bullet"/>
        <ns0:spacing ns0:after="50"/>
      </ns0:pPr>
      <ns0:r>
        <ns0:rPr>
          <ns0:b/>
          <ns0:color ns0:val="167D9A"/>
        </ns0:rPr>
        <ns0:t xml:space="preserve">•  </ns0:t>
      </ns0:r>
      <ns0:r>
        <ns0:rPr/>
        <ns0:t>Menos tiempo dedicado a combinar archivos y localizar el dato vigente; más tiempo para revisar excepciones y tomar decisiones.</ns0:t>
      </ns0:r>
    </ns0:p>
    <ns0:p>
      <ns0:pPr>
        <ns0:pStyle ns0:val="Bullet"/>
        <ns0:spacing ns0:after="50"/>
      </ns0:pPr>
      <ns0:r>
        <ns0:rPr>
          <ns0:b/>
          <ns0:color ns0:val="167D9A"/>
        </ns0:rPr>
        <ns0:t xml:space="preserve">•  </ns0:t>
      </ns0:r>
      <ns0:r>
        <ns0:rPr/>
        <ns0:t>Mayor visibilidad de equipos sin captura actual, contadores en cero y cambios entre periodos.</ns0:t>
      </ns0:r>
    </ns0:p>
    <ns0:p>
      <ns0:pPr>
        <ns0:pStyle ns0:val="Bullet"/>
        <ns0:spacing ns0:after="50"/>
      </ns0:pPr>
      <ns0:r>
        <ns0:rPr>
          <ns0:b/>
          <ns0:color ns0:val="167D9A"/>
        </ns0:rPr>
        <ns0:t xml:space="preserve">•  </ns0:t>
      </ns0:r>
      <ns0:r>
        <ns0:rPr/>
        <ns0:t>Más continuidad operativa: el conocimiento queda en los datos y reglas compartidos, no únicamente en quien mantiene una hoja específica.</ns0:t>
      </ns0:r>
    </ns0:p>
    <ns0:p>
      <ns0:pPr>
        <ns0:pStyle ns0:val="Bullet"/>
        <ns0:spacing ns0:after="50"/>
      </ns0:pPr>
      <ns0:r>
        <ns0:rPr>
          <ns0:b/>
          <ns0:color ns0:val="167D9A"/>
        </ns0:rPr>
        <ns0:t xml:space="preserve">•  </ns0:t>
      </ns0:r>
      <ns0:r>
        <ns0:rPr/>
        <ns0:t>Mejor capacidad de responder preguntas de gerencia: volumen por mes, oficina o región, historial de consulta y estado de los registros.</ns0:t>
      </ns0:r>
    </ns0:p>
    <ns0:p>
      <ns0:r>
        <ns0:br ns0:type="page"/>
      </ns0:r>
    </ns0:p>
    <ns0:p>
      <ns0:pPr>
        <ns0:pStyle ns0:val="Heading1"/>
        <ns0:spacing ns0:after="100"/>
        <ns0:keepNext/>
      </ns0:pPr>
      <ns0:r>
        <ns0:rPr/>
        <ns0:t>3. Alcance y condiciones para obtener el beneficio</ns0:t>
      </ns0:r>
    </ns0:p>
    <ns0:p>
      <ns0:pPr/>
      <ns0:r>
        <ns0:rPr/>
        <ns0:t>Un sistema centralizado mejora el control de los datos, pero no garantiza por sí solo que la información sea correcta, que haya copias recuperables o que el servicio esté siempre disponible. Esos resultados dependen de una operación definida.</ns0:t>
      </ns0:r>
    </ns0:p>
    <ns0:p>
      <ns0:pPr>
        <ns0:pStyle ns0:val="Heading2"/>
        <ns0:spacing ns0:after="100"/>
        <ns0:keepNext/>
      </ns0:pPr>
      <ns0:r>
        <ns0:rPr/>
        <ns0:t>Puntos a formalizar</ns0:t>
      </ns0:r>
    </ns0:p>
    <ns0:p>
      <ns0:pPr>
        <ns0:pStyle ns0:val="Bullet"/>
        <ns0:spacing ns0:after="50"/>
      </ns0:pPr>
      <ns0:r>
        <ns0:rPr>
          <ns0:b/>
          <ns0:color ns0:val="167D9A"/>
        </ns0:rPr>
        <ns0:t xml:space="preserve">•  </ns0:t>
      </ns0:r>
      <ns0:r>
        <ns0:rPr/>
        <ns0:t>Respaldo y recuperación: definir frecuencia y responsable de copias de PostgreSQL, protegerlas separadas del servidor de aplicación y probar periódicamente una restauración. El repositorio incluye instrucciones de backup/restauración, pero el informe no verifica que exista una rutina operativa activa.</ns0:t>
      </ns0:r>
    </ns0:p>
    <ns0:p>
      <ns0:pPr>
        <ns0:pStyle ns0:val="Bullet"/>
        <ns0:spacing ns0:after="50"/>
      </ns0:pPr>
      <ns0:r>
        <ns0:rPr>
          <ns0:b/>
          <ns0:color ns0:val="167D9A"/>
        </ns0:rPr>
        <ns0:t xml:space="preserve">•  </ns0:t>
      </ns0:r>
      <ns0:r>
        <ns0:rPr/>
        <ns0:t>Control de acceso: mantener cuentas individuales, revisar permisos de administrador y limitar quién puede importar, editar catálogos o modificar datos. Validar también el acceso de red y el uso de HTTPS en el despliegue.</ns0:t>
      </ns0:r>
    </ns0:p>
    <ns0:p>
      <ns0:pPr>
        <ns0:pStyle ns0:val="Bullet"/>
        <ns0:spacing ns0:after="50"/>
      </ns0:pPr>
      <ns0:r>
        <ns0:rPr>
          <ns0:b/>
          <ns0:color ns0:val="167D9A"/>
        </ns0:rPr>
        <ns0:t xml:space="preserve">•  </ns0:t>
      </ns0:r>
      <ns0:r>
        <ns0:rPr/>
        <ns0:t>Calidad de importación: conservar el archivo original, usar --dry-run, validar periodo/categoría y totales de filas, y confirmar la carga en la aplicación. Registrar quién aprobó cada carga sería una mejora de trazabilidad.</ns0:t>
      </ns0:r>
    </ns0:p>
    <ns0:p>
      <ns0:pPr>
        <ns0:pStyle ns0:val="Bullet"/>
        <ns0:spacing ns0:after="50"/>
      </ns0:pPr>
      <ns0:r>
        <ns0:rPr>
          <ns0:b/>
          <ns0:color ns0:val="167D9A"/>
        </ns0:rPr>
        <ns0:t xml:space="preserve">•  </ns0:t>
      </ns0:r>
      <ns0:r>
        <ns0:rPr/>
        <ns0:t>Auditoría de cambios: el proyecto registra el origen y momento de importación y guarda ejecuciones/snapshots de Web Jetadmin; no se debe asumir que existe un historial detallado de cada edición manual. Si se requiere rendición de cuentas, añadir un registro de usuario, fecha, campo cambiado y valor anterior/nuevo.</ns0:t>
      </ns0:r>
    </ns0:p>
    <ns0:p>
      <ns0:pPr>
        <ns0:pStyle ns0:val="Bullet"/>
        <ns0:spacing ns0:after="50"/>
      </ns0:pPr>
      <ns0:r>
        <ns0:rPr>
          <ns0:b/>
          <ns0:color ns0:val="167D9A"/>
        </ns0:rPr>
        <ns0:t xml:space="preserve">•  </ns0:t>
      </ns0:r>
      <ns0:r>
        <ns0:rPr/>
        <ns0:t>Operación y soporte: asignar responsable del sistema, monitorear el servicio y la conexión a PostgreSQL/HP Web Jetadmin, y documentar qué hacer ante fallos o importaciones incorrectas.</ns0:t>
      </ns0:r>
    </ns0:p>
    <ns0:p>
      <ns0:pPr>
        <ns0:pStyle ns0:val="Heading2"/>
        <ns0:spacing ns0:after="100"/>
        <ns0:keepNext/>
      </ns0:pPr>
      <ns0:r>
        <ns0:rPr/>
        <ns0:t>Decisión sugerida</ns0:t>
      </ns0:r>
    </ns0:p>
    <ns0:p>
      <ns0:pPr/>
      <ns0:r>
        <ns0:rPr/>
        <ns0:t>Aprobar el uso de la aplicación como repositorio operativo central para catálogo, consultas de dispositivos y contadores mensuales, con Excel como mecanismo compatible para recibir reportes y entregar análisis. Acompañar la adopción con un piloto controlado y una revisión mensual de calidad, respaldo y permisos.</ns0:t>
      </ns0:r>
    </ns0:p>
    <ns0:p>
      <ns0:pPr>
        <ns0:pStyle ns0:val="Heading1"/>
        <ns0:spacing ns0:after="100"/>
        <ns0:keepNext/>
      </ns0:pPr>
      <ns0:r>
        <ns0:rPr/>
        <ns0:t>Conclusión</ns0:t>
      </ns0:r>
    </ns0:p>
    <ns0:p>
      <ns0:pPr/>
      <ns0:r>
        <ns0:rPr/>
        <ns0:t>Para el caso concreto de impresoras HP, el sistema reúne la información que hoy llega desde HP Web Jetadmin y desde reportes mensuales, la vincula con oficinas e impresoras y la presenta en una herramienta de consulta. Frente a mantener únicamente una colección de hojas Excel, ofrece una referencia central, periodos comparables, filtros reutilizables, alertas y acceso controlado. La inversión se justifica especialmente cuando varios usuarios necesitan consultar la misma información, se requiere conservar el histórico y el volumen de consolidación manual empieza a ser significativo.</ns0:t>
      </ns0:r>
    </ns0:p>
    <ns0:p>
      <ns0:pPr>
        <ns0:spacing ns0:after="150"/>
      </ns0:pPr>
      <ns0:r>
        <ns0:rPr/>
        <ns0:t>La recomendación no es abandonar Excel de inmediato: es dejar de usarlo como base maestra exclusiva y aprovecharlo como formato de entrada y exportación, bajo un proceso respaldado y verificable.</ns0:t>
      </ns0:r>
    </ns0:p>
    <ns0:p>
      <ns0:pPr>
        <ns0:pStyle ns0:val="Heading2"/>
        <ns0:spacing ns0:after="100"/>
        <ns0:keepNext/>
      </ns0:pPr>
      <ns0:r>
        <ns0:rPr/>
        <ns0:t>Base del análisis</ns0:t>
      </ns0:r>
    </ns0:p>
    <ns0:p>
      <ns0:pPr>
        <ns0:spacing ns0:after="70"/>
      </ns0:pPr>
      <ns0:r>
        <ns0:rPr/>
        <ns0:t>Revisión del repositorio HP: README.md; backend/devices/models.py, views.py, serializers.py y management/commands/_counters_import_base.py; backend/config/settings.py; frontend/src/App.jsx, frontend/src/api/client.js, frontend/src/pages/Counters.jsx, Dashboard.jsx y Catalogs.jsx; documentación de importación y despliegue. Evaluación funcional del código disponible; no constituye auditoría de infraestructura ni confirmación de operación productiva.</ns0:t>
      </ns0:r>
    </ns0:p>
    <ns0:sectPr>
      <ns0:pgSz ns0:w="12240" ns0:h="15840"/>
      <ns0:pgMar ns0:top="900" ns0:right="1080" ns0:bottom="900" ns0:left="1080" ns0:header="450" ns0:footer="450" ns0:gutter="0"/>
      <ns0:headerReference ns0:type="default" ns1:id="rId3"/>
      <ns0:footerReference ns0:type="default" ns1:id="rId4"/>
    </ns0:sectPr>
  </ns0:body>
</ns0:document>
</file>

<file path=word/footer1.xml><?xml version="1.0" encoding="utf-8"?>
<ns0:ftr xmlns:ns0="http://schemas.openxmlformats.org/wordprocessingml/2006/main" xmlns:w="http://schemas.openxmlformats.org/wordprocessingml/2006/main">
  <ns0:p>
    <ns0:pPr>
      <ns0:jc ns0:val="center"/>
    </ns0:pPr>
    <ns0:r>
      <ns0:rPr>
        <ns0:color ns0:val="78909C"/>
        <ns0:sz ns0:val="16"/>
      </ns0:rPr>
      <ns0:t>INFORME INTERNO  •  </ns0:t>
    </ns0:r>
    <ns0:r>
      <ns0:fldChar ns0:fldCharType="begin"/>
    </ns0:r>
    <ns0:r>
      <ns0:instrText xml:space="preserve"> PAGE </ns0:instrText>
    </ns0:r>
    <ns0:r>
      <ns0:fldChar ns0:fldCharType="end"/>
    </ns0:r>
  </ns0:p>
</ns0:ftr>
</file>

<file path=word/header1.xml><?xml version="1.0" encoding="utf-8"?>
<ns0:hdr xmlns:ns0="http://schemas.openxmlformats.org/wordprocessingml/2006/main">
  <ns0:p>
    <ns0:pPr>
      <ns0:jc ns0:val="right"/>
    </ns0:pPr>
    <ns0:r>
      <ns0:rPr>
        <ns0:color ns0:val="78909C"/>
        <ns0:sz ns0:val="16"/>
      </ns0:rPr>
      <ns0:t xml:space="preserve">GESTI?N DE IMPRESORAS  |  INFORME EJECUTIVO</ns0:t>
    </ns0:r>
  </ns0:p>
</ns0:hdr>
</file>

<file path=word/styles.xml><?xml version="1.0" encoding="utf-8"?>
<ns0:styles xmlns:ns0="http://schemas.openxmlformats.org/wordprocessingml/2006/main">
  <ns0:style ns0:type="paragraph" ns0:styleId="Normal">
    <ns0:name ns0:val="Normal"/>
    <ns0:basedOn ns0:val="Normal"/>
    <ns0:pPr>
      <ns0:spacing ns0:after="100" qFormat="1"/>
      <ns0:spacing ns0:after="115" ns0:line="270" ns0:lineRule="auto"/>
    </ns0:pPr>
    <ns0:rPr>
      <ns0:rFonts ns0:ascii="Aptos" ns0:hAnsi="Aptos"/>
      <ns0:sz ns0:val="21"/>
      <ns0:color ns0:val="243746"/>
      <ns0:rFonts ns0:ascii="Aptos" ns0:hAnsi="Aptos"/>
    </ns0:rPr>
  </ns0:style>
  <ns0:style ns0:type="paragraph" ns0:styleId="Title">
    <ns0:name ns0:val="Title"/>
    <ns0:basedOn ns0:val="Normal"/>
    <ns0:pPr>
      <ns0:spacing ns0:after="180" qFormat="1"/>
    </ns0:pPr>
    <ns0:rPr>
      <ns0:rFonts ns0:ascii="Aptos" ns0:hAnsi="Aptos"/>
      <ns0:sz ns0:val="36"/>
      <ns0:color ns0:val="16324F"/>
      <ns0:b/>
    </ns0:rPr>
  </ns0:style>
  <ns0:style ns0:type="paragraph" ns0:styleId="Subtitle">
    <ns0:name ns0:val="Subtitle"/>
    <ns0:basedOn ns0:val="Normal"/>
    <ns0:pPr>
      <ns0:spacing ns0:after="120" qFormat="1"/>
    </ns0:pPr>
    <ns0:rPr>
      <ns0:rFonts ns0:ascii="Aptos" ns0:hAnsi="Aptos"/>
      <ns0:sz ns0:val="23"/>
      <ns0:color ns0:val="167D9A"/>
    </ns0:rPr>
  </ns0:style>
  <ns0:style ns0:type="paragraph" ns0:styleId="Meta">
    <ns0:name ns0:val="Meta"/>
    <ns0:basedOn ns0:val="Normal"/>
    <ns0:pPr>
      <ns0:spacing ns0:after="200" qFormat="1"/>
    </ns0:pPr>
    <ns0:rPr>
      <ns0:rFonts ns0:ascii="Aptos" ns0:hAnsi="Aptos"/>
      <ns0:sz ns0:val="19"/>
      <ns0:color ns0:val="5F7180"/>
    </ns0:rPr>
  </ns0:style>
  <ns0:style ns0:type="paragraph" ns0:styleId="Kicker">
    <ns0:name ns0:val="Kicker"/>
    <ns0:basedOn ns0:val="Normal"/>
    <ns0:pPr>
      <ns0:spacing ns0:after="120" qFormat="1"/>
    </ns0:pPr>
    <ns0:rPr>
      <ns0:rFonts ns0:ascii="Aptos" ns0:hAnsi="Aptos"/>
      <ns0:sz ns0:val="18"/>
      <ns0:color ns0:val="167D9A"/>
      <ns0:b/>
    </ns0:rPr>
  </ns0:style>
  <ns0:style ns0:type="paragraph" ns0:styleId="Heading1">
    <ns0:name ns0:val="Heading 1"/>
    <ns0:basedOn ns0:val="Normal"/>
    <ns0:pPr>
      <ns0:spacing ns0:after="110" qFormat="1"/>
    </ns0:pPr>
    <ns0:rPr>
      <ns0:rFonts ns0:ascii="Aptos" ns0:hAnsi="Aptos"/>
      <ns0:sz ns0:val="27"/>
      <ns0:color ns0:val="16324F"/>
      <ns0:b/>
    </ns0:rPr>
  </ns0:style>
  <ns0:style ns0:type="paragraph" ns0:styleId="Heading2">
    <ns0:name ns0:val="Heading 2"/>
    <ns0:basedOn ns0:val="Normal"/>
    <ns0:pPr>
      <ns0:spacing ns0:after="80" qFormat="1"/>
    </ns0:pPr>
    <ns0:rPr>
      <ns0:rFonts ns0:ascii="Aptos" ns0:hAnsi="Aptos"/>
      <ns0:sz ns0:val="22"/>
      <ns0:color ns0:val="167D9A"/>
      <ns0:b/>
    </ns0:rPr>
  </ns0:style>
  <ns0:style ns0:type="paragraph" ns0:styleId="Bullet">
    <ns0:name ns0:val="Bullet"/>
    <ns0:basedOn ns0:val="Normal"/>
    <ns0:pPr>
      <ns0:spacing ns0:after="55" qFormat="1"/>
    </ns0:pPr>
    <ns0:rPr>
      <ns0:rFonts ns0:ascii="Aptos" ns0:hAnsi="Aptos"/>
      <ns0:sz ns0:val="20"/>
      <ns0:color ns0:val="243746"/>
    </ns0:rPr>
  </ns0:style>
</ns0:styles>
</file>

<file path=word/_rels/document.xml.rels><?xml version='1.0' encoding='utf-8'?>
<ns0:Relationships xmlns:ns0="http://schemas.openxmlformats.org/package/2006/relationships"><ns0:Relationship Id="rId1" Type="http://schemas.openxmlformats.org/officeDocument/2006/relationships/styles" Target="styles.xml" /><ns0:Relationship Id="rId3" Type="http://schemas.openxmlformats.org/officeDocument/2006/relationships/header" Target="header1.xml" /><ns0:Relationship Id="rId4" Type="http://schemas.openxmlformats.org/officeDocument/2006/relationships/footer" Target="footer1.xml" /></ns0:Relationships>
</file>