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left"/>
      </w:pPr>
      <w:r>
        <w:rPr>
          <w:rFonts w:ascii="Arial" w:cs="Arial" w:eastAsia="Arial" w:hAnsi="Arial"/>
          <w:b/>
          <w:bCs/>
          <w:color w:val="4472C4"/>
          <w:sz w:val="22"/>
          <w:szCs w:val="22"/>
        </w:rPr>
        <w:t xml:space="preserve">PolygonEye AI Lab</w:t>
      </w:r>
    </w:p>
    <w:p>
      <w:pPr>
        <w:spacing w:after="400" w:before="0"/>
        <w:jc w:val="left"/>
      </w:pPr>
      <w:r>
        <w:rPr>
          <w:rFonts w:ascii="Arial" w:cs="Arial" w:eastAsia="Arial" w:hAnsi="Arial"/>
          <w:b/>
          <w:bCs/>
          <w:color w:val="D4A017"/>
          <w:sz w:val="18"/>
          <w:szCs w:val="18"/>
        </w:rPr>
        <w:t xml:space="preserve">CONFIDENTIAL — INTERNAL ENGINEERING</w:t>
      </w:r>
    </w:p>
    <w:p>
      <w:pPr>
        <w:spacing w:after="40" w:before="0"/>
        <w:jc w:val="left"/>
      </w:pPr>
      <w:r>
        <w:rPr>
          <w:rFonts w:ascii="Arial" w:cs="Arial" w:eastAsia="Arial" w:hAnsi="Arial"/>
          <w:b/>
          <w:bCs/>
          <w:color w:val="1F3864"/>
          <w:sz w:val="64"/>
          <w:szCs w:val="64"/>
        </w:rPr>
        <w:t xml:space="preserve">PolyAgora</w:t>
      </w:r>
    </w:p>
    <w:p>
      <w:pPr>
        <w:spacing w:after="40" w:before="0"/>
        <w:jc w:val="left"/>
      </w:pPr>
      <w:r>
        <w:rPr>
          <w:rFonts w:ascii="Arial" w:cs="Arial" w:eastAsia="Arial" w:hAnsi="Arial"/>
          <w:b w:val="false"/>
          <w:bCs w:val="false"/>
          <w:color w:val="2E5FA3"/>
          <w:sz w:val="40"/>
          <w:szCs w:val="40"/>
        </w:rPr>
        <w:t xml:space="preserve">Phase-II Engineering Specification</w:t>
      </w:r>
    </w:p>
    <w:p>
      <w:pPr>
        <w:spacing w:after="240" w:before="0"/>
        <w:jc w:val="left"/>
      </w:pPr>
      <w:r>
        <w:rPr>
          <w:rFonts w:ascii="Arial" w:cs="Arial" w:eastAsia="Arial" w:hAnsi="Arial"/>
          <w:b w:val="false"/>
          <w:bCs w:val="false"/>
          <w:color w:val="4472C4"/>
          <w:sz w:val="32"/>
          <w:szCs w:val="32"/>
        </w:rPr>
        <w:t xml:space="preserve">Convexity Exploitation Under Governance</w:t>
      </w:r>
    </w:p>
    <w:p>
      <w:pPr>
        <w:pBdr>
          <w:bottom w:val="single" w:color="2E5FA3" w:sz="12"/>
        </w:pBdr>
        <w:spacing w:after="240" w:before="0"/>
      </w:pPr>
      <w:r>
        <w:t xml:space="preserve"/>
      </w:r>
    </w:p>
    <w:p>
      <w:pPr>
        <w:spacing w:after="40" w:before="0"/>
      </w:pPr>
      <w:r>
        <w:rPr>
          <w:rFonts w:ascii="Arial" w:cs="Arial" w:eastAsia="Arial" w:hAnsi="Arial"/>
          <w:color w:val="404040"/>
          <w:sz w:val="20"/>
          <w:szCs w:val="20"/>
        </w:rPr>
        <w:t xml:space="preserve">Version: 1.0 · Baseline from V7.10 Registry</w:t>
      </w:r>
    </w:p>
    <w:p>
      <w:pPr>
        <w:spacing w:after="40" w:before="0"/>
      </w:pPr>
      <w:r>
        <w:rPr>
          <w:rFonts w:ascii="Arial" w:cs="Arial" w:eastAsia="Arial" w:hAnsi="Arial"/>
          <w:color w:val="404040"/>
          <w:sz w:val="20"/>
          <w:szCs w:val="20"/>
        </w:rPr>
        <w:t xml:space="preserve">Date: May 2026</w:t>
      </w:r>
    </w:p>
    <w:p>
      <w:pPr>
        <w:spacing w:after="40" w:before="0"/>
      </w:pPr>
      <w:r>
        <w:rPr>
          <w:rFonts w:ascii="Arial" w:cs="Arial" w:eastAsia="Arial" w:hAnsi="Arial"/>
          <w:color w:val="404040"/>
          <w:sz w:val="20"/>
          <w:szCs w:val="20"/>
        </w:rPr>
        <w:t xml:space="preserve">Audience: CTO, Quant Engineering, Systems Architecture</w:t>
      </w:r>
    </w:p>
    <w:p>
      <w:pPr>
        <w:spacing w:after="0" w:before="800"/>
      </w:pPr>
      <w:r>
        <w:t xml:space="preserve"/>
      </w:r>
    </w:p>
    <w:p>
      <w:pPr>
        <w:spacing w:after="0" w:before="0"/>
      </w:pPr>
      <w:r>
        <w:br w:type="page"/>
      </w:r>
    </w:p>
    <w:p>
      <w:pPr>
        <w:pStyle w:val="Heading1"/>
        <w:pBdr>
          <w:bottom w:val="single" w:color="4472C4" w:sz="8"/>
        </w:pBdr>
        <w:spacing w:after="200" w:before="400"/>
      </w:pPr>
      <w:r>
        <w:rPr>
          <w:rFonts w:ascii="Arial" w:cs="Arial" w:eastAsia="Arial" w:hAnsi="Arial"/>
          <w:b/>
          <w:bCs/>
          <w:color w:val="1F3864"/>
          <w:sz w:val="36"/>
          <w:szCs w:val="36"/>
        </w:rPr>
        <w:t xml:space="preserve">1. Phase-II Mandate</w:t>
      </w:r>
    </w:p>
    <w:p>
      <w:pPr>
        <w:spacing w:after="80" w:before="80"/>
      </w:pPr>
      <w:r>
        <w:rPr>
          <w:rFonts w:ascii="Arial" w:cs="Arial" w:eastAsia="Arial" w:hAnsi="Arial"/>
          <w:color w:val="404040"/>
          <w:sz w:val="22"/>
          <w:szCs w:val="22"/>
        </w:rPr>
        <w:t xml:space="preserve">This document is the engineering specification for the next development phase of PolyAgora. It translates the mature runtime architecture concept into concrete engineering problems, layer definitions, open questions, and deliverable expectations for the CTO team.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D6E4F0" w:val="clear"/>
            <w:tcMar>
              <w:top w:type="dxa" w:w="140"/>
              <w:left w:type="dxa" w:w="220"/>
              <w:bottom w:type="dxa" w:w="140"/>
              <w:right w:type="dxa" w:w="220"/>
            </w:tcMar>
          </w:tcPr>
          <w:p>
            <w:pPr>
              <w:spacing w:after="80" w:before="0"/>
            </w:pPr>
            <w:r>
              <w:rPr>
                <w:rFonts w:ascii="Arial" w:cs="Arial" w:eastAsia="Arial" w:hAnsi="Arial"/>
                <w:b/>
                <w:bCs/>
                <w:color w:val="1F3864"/>
                <w:sz w:val="22"/>
                <w:szCs w:val="22"/>
              </w:rPr>
              <w:t xml:space="preserve">Core Problem Statement</w:t>
            </w:r>
          </w:p>
          <w:p>
            <w:r>
              <w:rPr>
                <w:rFonts w:ascii="Arial" w:cs="Arial" w:eastAsia="Arial" w:hAnsi="Arial"/>
                <w:color w:val="404040"/>
                <w:sz w:val="22"/>
                <w:szCs w:val="22"/>
              </w:rPr>
              <w:t xml:space="preserve">PolyAgora V7.10 has achieved strong governance and survivability. It excels at transition detection, collapse navigation, and drawdown control. The measured gap is convexity extraction during persistent admissible expansion regimes — the system under-participates in stable bull markets while protecting aggressively against rupture. The Phase-II mission is to preserve the survivability architecture while adding a governed convexity exploitation layer that closes this performance gap without becoming fragile.</w:t>
            </w:r>
          </w:p>
        </w:tc>
      </w:tr>
    </w:tbl>
    <w:p>
      <w:pPr>
        <w:spacing w:after="0" w:before="160"/>
      </w:pPr>
      <w:r>
        <w:t xml:space="preserve"/>
      </w:r>
    </w:p>
    <w:p>
      <w:pPr>
        <w:pStyle w:val="Heading2"/>
        <w:spacing w:after="120" w:before="300"/>
      </w:pPr>
      <w:r>
        <w:rPr>
          <w:rFonts w:ascii="Arial" w:cs="Arial" w:eastAsia="Arial" w:hAnsi="Arial"/>
          <w:b/>
          <w:bCs/>
          <w:color w:val="2E5FA3"/>
          <w:sz w:val="28"/>
          <w:szCs w:val="28"/>
        </w:rPr>
        <w:t xml:space="preserve">1.1 What Has Been Demonstrated</w:t>
      </w:r>
    </w:p>
    <w:p>
      <w:pPr>
        <w:spacing w:after="80" w:before="80"/>
      </w:pPr>
      <w:r>
        <w:rPr>
          <w:rFonts w:ascii="Arial" w:cs="Arial" w:eastAsia="Arial" w:hAnsi="Arial"/>
          <w:color w:val="404040"/>
          <w:sz w:val="22"/>
          <w:szCs w:val="22"/>
        </w:rPr>
        <w:t xml:space="preserve">The V7.10 regime baseline (2008–2026, full window) confirms: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93"/>
        <w:gridCol w:w="1193"/>
        <w:gridCol w:w="1193"/>
        <w:gridCol w:w="1193"/>
        <w:gridCol w:w="1193"/>
        <w:gridCol w:w="1195"/>
      </w:tblGrid>
      <w:tr>
        <w:tc>
          <w:tcPr>
            <w:tcW w:type="dxa" w:w="2200"/>
            <w:tcBorders>
              <w:top w:val="single" w:color="D0D0D0" w:sz="4"/>
              <w:left w:val="single" w:color="D0D0D0" w:sz="4"/>
              <w:bottom w:val="single" w:color="D0D0D0" w:sz="4"/>
              <w:right w:val="single" w:color="D0D0D0" w:sz="4"/>
            </w:tcBorders>
            <w:shd w:fill="1F3864"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System</w:t>
            </w:r>
          </w:p>
        </w:tc>
        <w:tc>
          <w:tcPr>
            <w:tcW w:type="dxa" w:w="1193"/>
            <w:tcBorders>
              <w:top w:val="single" w:color="D0D0D0" w:sz="4"/>
              <w:left w:val="single" w:color="D0D0D0" w:sz="4"/>
              <w:bottom w:val="single" w:color="D0D0D0" w:sz="4"/>
              <w:right w:val="single" w:color="D0D0D0" w:sz="4"/>
            </w:tcBorders>
            <w:shd w:fill="1F3864"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CAGR</w:t>
            </w:r>
          </w:p>
        </w:tc>
        <w:tc>
          <w:tcPr>
            <w:tcW w:type="dxa" w:w="1193"/>
            <w:tcBorders>
              <w:top w:val="single" w:color="D0D0D0" w:sz="4"/>
              <w:left w:val="single" w:color="D0D0D0" w:sz="4"/>
              <w:bottom w:val="single" w:color="D0D0D0" w:sz="4"/>
              <w:right w:val="single" w:color="D0D0D0" w:sz="4"/>
            </w:tcBorders>
            <w:shd w:fill="1F3864"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Ann. Vol</w:t>
            </w:r>
          </w:p>
        </w:tc>
        <w:tc>
          <w:tcPr>
            <w:tcW w:type="dxa" w:w="1193"/>
            <w:tcBorders>
              <w:top w:val="single" w:color="D0D0D0" w:sz="4"/>
              <w:left w:val="single" w:color="D0D0D0" w:sz="4"/>
              <w:bottom w:val="single" w:color="D0D0D0" w:sz="4"/>
              <w:right w:val="single" w:color="D0D0D0" w:sz="4"/>
            </w:tcBorders>
            <w:shd w:fill="1F3864"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Sharpe</w:t>
            </w:r>
          </w:p>
        </w:tc>
        <w:tc>
          <w:tcPr>
            <w:tcW w:type="dxa" w:w="1193"/>
            <w:tcBorders>
              <w:top w:val="single" w:color="D0D0D0" w:sz="4"/>
              <w:left w:val="single" w:color="D0D0D0" w:sz="4"/>
              <w:bottom w:val="single" w:color="D0D0D0" w:sz="4"/>
              <w:right w:val="single" w:color="D0D0D0" w:sz="4"/>
            </w:tcBorders>
            <w:shd w:fill="1F3864"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Max DD</w:t>
            </w:r>
          </w:p>
        </w:tc>
        <w:tc>
          <w:tcPr>
            <w:tcW w:type="dxa" w:w="1193"/>
            <w:tcBorders>
              <w:top w:val="single" w:color="D0D0D0" w:sz="4"/>
              <w:left w:val="single" w:color="D0D0D0" w:sz="4"/>
              <w:bottom w:val="single" w:color="D0D0D0" w:sz="4"/>
              <w:right w:val="single" w:color="D0D0D0" w:sz="4"/>
            </w:tcBorders>
            <w:shd w:fill="1F3864" w:val="clear"/>
            <w:tcMar>
              <w:top w:type="dxa" w:w="60"/>
              <w:left w:type="dxa" w:w="100"/>
              <w:bottom w:type="dxa" w:w="60"/>
              <w:right w:type="dxa" w:w="100"/>
            </w:tcMar>
          </w:tcPr>
          <w:p>
            <w:pPr>
              <w:spacing w:after="0" w:before="0"/>
              <w:jc w:val="left"/>
            </w:pPr>
            <w:r>
              <w:rPr>
                <w:rFonts w:ascii="Arial" w:cs="Arial" w:eastAsia="Arial" w:hAnsi="Arial"/>
                <w:b/>
                <w:bCs/>
                <w:color w:val="FFFFFF"/>
                <w:sz w:val="18"/>
                <w:szCs w:val="18"/>
              </w:rPr>
              <w:t xml:space="preserve">Corr SPY</w:t>
            </w:r>
          </w:p>
        </w:tc>
      </w:tr>
      <w:tr>
        <w:tc>
          <w:tcPr>
            <w:tcW w:type="dxa" w:w="2200"/>
            <w:tcBorders>
              <w:top w:val="single" w:color="D0D0D0" w:sz="4"/>
              <w:left w:val="single" w:color="D0D0D0" w:sz="4"/>
              <w:bottom w:val="single" w:color="D0D0D0" w:sz="4"/>
              <w:right w:val="single" w:color="D0D0D0" w:sz="4"/>
            </w:tcBorders>
            <w:shd w:fill="D6E4F0" w:val="clear"/>
            <w:tcMar>
              <w:top w:type="dxa" w:w="60"/>
              <w:left w:type="dxa" w:w="100"/>
              <w:bottom w:type="dxa" w:w="60"/>
              <w:right w:type="dxa" w:w="100"/>
            </w:tcMar>
          </w:tcPr>
          <w:p>
            <w:pPr>
              <w:spacing w:after="0" w:before="0"/>
              <w:jc w:val="left"/>
            </w:pPr>
            <w:r>
              <w:rPr>
                <w:rFonts w:ascii="Arial" w:cs="Arial" w:eastAsia="Arial" w:hAnsi="Arial"/>
                <w:b/>
                <w:bCs/>
                <w:color w:val="1F3864"/>
                <w:sz w:val="18"/>
                <w:szCs w:val="18"/>
              </w:rPr>
              <w:t xml:space="preserve">V7.10 Strategy Sleeve Registry</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3.16%</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3.48%</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0.91</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-6.46%</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0.036</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left"/>
            </w:pPr>
            <w:r>
              <w:rPr>
                <w:rFonts w:ascii="Arial" w:cs="Arial" w:eastAsia="Arial" w:hAnsi="Arial"/>
                <w:b/>
                <w:bCs/>
                <w:color w:val="1F3864"/>
                <w:sz w:val="18"/>
                <w:szCs w:val="18"/>
              </w:rPr>
              <w:t xml:space="preserve">V7.9 ADD + Defensive Rotation</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2.82%</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3.26%</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0.87</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-8.57%</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0.037</w:t>
            </w:r>
          </w:p>
        </w:tc>
      </w:tr>
      <w:tr>
        <w:tc>
          <w:tcPr>
            <w:tcW w:type="dxa" w:w="2200"/>
            <w:tcBorders>
              <w:top w:val="single" w:color="D0D0D0" w:sz="4"/>
              <w:left w:val="single" w:color="D0D0D0" w:sz="4"/>
              <w:bottom w:val="single" w:color="D0D0D0" w:sz="4"/>
              <w:right w:val="single" w:color="D0D0D0" w:sz="4"/>
            </w:tcBorders>
            <w:shd w:fill="D6E4F0" w:val="clear"/>
            <w:tcMar>
              <w:top w:type="dxa" w:w="60"/>
              <w:left w:type="dxa" w:w="100"/>
              <w:bottom w:type="dxa" w:w="60"/>
              <w:right w:type="dxa" w:w="100"/>
            </w:tcMar>
          </w:tcPr>
          <w:p>
            <w:pPr>
              <w:spacing w:after="0" w:before="0"/>
              <w:jc w:val="left"/>
            </w:pPr>
            <w:r>
              <w:rPr>
                <w:rFonts w:ascii="Arial" w:cs="Arial" w:eastAsia="Arial" w:hAnsi="Arial"/>
                <w:b/>
                <w:bCs/>
                <w:color w:val="1F3864"/>
                <w:sz w:val="18"/>
                <w:szCs w:val="18"/>
              </w:rPr>
              <w:t xml:space="preserve">M2: Momentum 12-1 (reference)</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3.23%</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6.57%</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0.52</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-14.72%</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0.015</w:t>
            </w:r>
          </w:p>
        </w:tc>
      </w:tr>
      <w:tr>
        <w:tc>
          <w:tcPr>
            <w:tcW w:type="dxa" w:w="2200"/>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left"/>
            </w:pPr>
            <w:r>
              <w:rPr>
                <w:rFonts w:ascii="Arial" w:cs="Arial" w:eastAsia="Arial" w:hAnsi="Arial"/>
                <w:b/>
                <w:bCs/>
                <w:color w:val="1F3864"/>
                <w:sz w:val="18"/>
                <w:szCs w:val="18"/>
              </w:rPr>
              <w:t xml:space="preserve">M3: Defensive Manifold</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3.51%</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5.89%</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0.62</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-19.04%</w:t>
            </w:r>
          </w:p>
        </w:tc>
        <w:tc>
          <w:tcPr>
            <w:tcW w:type="dxa" w:w="1193"/>
            <w:tcBorders>
              <w:top w:val="single" w:color="D0D0D0" w:sz="4"/>
              <w:left w:val="single" w:color="D0D0D0" w:sz="4"/>
              <w:bottom w:val="single" w:color="D0D0D0" w:sz="4"/>
              <w:right w:val="single" w:color="D0D0D0" w:sz="4"/>
            </w:tcBorders>
            <w:shd w:fill="FFFFFF"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0.042</w:t>
            </w:r>
          </w:p>
        </w:tc>
      </w:tr>
      <w:tr>
        <w:tc>
          <w:tcPr>
            <w:tcW w:type="dxa" w:w="2200"/>
            <w:tcBorders>
              <w:top w:val="single" w:color="D0D0D0" w:sz="4"/>
              <w:left w:val="single" w:color="D0D0D0" w:sz="4"/>
              <w:bottom w:val="single" w:color="D0D0D0" w:sz="4"/>
              <w:right w:val="single" w:color="D0D0D0" w:sz="4"/>
            </w:tcBorders>
            <w:shd w:fill="D6E4F0" w:val="clear"/>
            <w:tcMar>
              <w:top w:type="dxa" w:w="60"/>
              <w:left w:type="dxa" w:w="100"/>
              <w:bottom w:type="dxa" w:w="60"/>
              <w:right w:type="dxa" w:w="100"/>
            </w:tcMar>
          </w:tcPr>
          <w:p>
            <w:pPr>
              <w:spacing w:after="0" w:before="0"/>
              <w:jc w:val="left"/>
            </w:pPr>
            <w:r>
              <w:rPr>
                <w:rFonts w:ascii="Arial" w:cs="Arial" w:eastAsia="Arial" w:hAnsi="Arial"/>
                <w:b/>
                <w:bCs/>
                <w:color w:val="1F3864"/>
                <w:sz w:val="18"/>
                <w:szCs w:val="18"/>
              </w:rPr>
              <w:t xml:space="preserve">S&amp;P 500 (buy-and-hold)</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~9-10%*</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~15%*</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~0.50*</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~-55%*</w:t>
            </w:r>
          </w:p>
        </w:tc>
        <w:tc>
          <w:tcPr>
            <w:tcW w:type="dxa" w:w="1193"/>
            <w:tcBorders>
              <w:top w:val="single" w:color="D0D0D0" w:sz="4"/>
              <w:left w:val="single" w:color="D0D0D0" w:sz="4"/>
              <w:bottom w:val="single" w:color="D0D0D0" w:sz="4"/>
              <w:right w:val="single" w:color="D0D0D0" w:sz="4"/>
            </w:tcBorders>
            <w:shd w:fill="F2F2F2" w:val="clear"/>
            <w:tcMar>
              <w:top w:type="dxa" w:w="60"/>
              <w:left w:type="dxa" w:w="100"/>
              <w:bottom w:type="dxa" w:w="60"/>
              <w:right w:type="dxa" w:w="100"/>
            </w:tcMar>
          </w:tcPr>
          <w:p>
            <w:pPr>
              <w:spacing w:after="0" w:before="0"/>
              <w:jc w:val="center"/>
            </w:pPr>
            <w:r>
              <w:rPr>
                <w:rFonts w:ascii="Arial" w:cs="Arial" w:eastAsia="Arial" w:hAnsi="Arial"/>
                <w:b w:val="false"/>
                <w:bCs w:val="false"/>
                <w:color w:val="404040"/>
                <w:sz w:val="18"/>
                <w:szCs w:val="18"/>
              </w:rPr>
              <w:t xml:space="preserve">1.000</w:t>
            </w:r>
          </w:p>
        </w:tc>
      </w:tr>
    </w:tbl>
    <w:p>
      <w:pPr>
        <w:spacing w:after="0" w:before="60"/>
      </w:pPr>
      <w:r>
        <w:t xml:space="preserve"/>
      </w:r>
    </w:p>
    <w:p>
      <w:pPr>
        <w:spacing w:after="80" w:before="80"/>
      </w:pPr>
      <w:r>
        <w:rPr>
          <w:rFonts w:ascii="Arial" w:cs="Arial" w:eastAsia="Arial" w:hAnsi="Arial"/>
          <w:color w:val="404040"/>
          <w:sz w:val="22"/>
          <w:szCs w:val="22"/>
        </w:rPr>
        <w:t xml:space="preserve">*Approximate reference values for orientation. V7.10 achieves a Sharpe nearly 2× Momentum at one-third of the maximum drawdown. Its near-zero SPY correlation confirms structural independence.</w:t>
      </w:r>
    </w:p>
    <w:p>
      <w:pPr>
        <w:spacing w:after="0" w:before="80"/>
      </w:pPr>
      <w:r>
        <w:t xml:space="preserve"/>
      </w:r>
    </w:p>
    <w:p>
      <w:pPr>
        <w:pStyle w:val="Heading2"/>
        <w:spacing w:after="120" w:before="300"/>
      </w:pPr>
      <w:r>
        <w:rPr>
          <w:rFonts w:ascii="Arial" w:cs="Arial" w:eastAsia="Arial" w:hAnsi="Arial"/>
          <w:b/>
          <w:bCs/>
          <w:color w:val="2E5FA3"/>
          <w:sz w:val="28"/>
          <w:szCs w:val="28"/>
        </w:rPr>
        <w:t xml:space="preserve">1.2 Where the Gap Lives</w:t>
      </w:r>
    </w:p>
    <w:p>
      <w:pPr>
        <w:spacing w:after="80" w:before="80"/>
      </w:pPr>
      <w:r>
        <w:rPr>
          <w:rFonts w:ascii="Arial" w:cs="Arial" w:eastAsia="Arial" w:hAnsi="Arial"/>
          <w:color w:val="404040"/>
          <w:sz w:val="22"/>
          <w:szCs w:val="22"/>
        </w:rPr>
        <w:t xml:space="preserve">The CTO 'first test' targets (Sharpe &gt; 1.2, Sortino &gt; 1.5, Calmar &gt; 1.0, Max DD &lt; 8%, Corr SPY &lt; 0.35) reveal the precise failure modes:</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Sharpe 0.91 vs target 1.2 — the return-per-unit-risk is insufficient; the system does not harvest enough return during admitted stable regimes</w:t>
      </w:r>
    </w:p>
    <w:p>
      <w:pPr>
        <w:pStyle w:val="ListParagraph"/>
        <w:numPr>
          <w:ilvl w:val="0"/>
          <w:numId w:val="2"/>
        </w:numPr>
        <w:spacing w:after="40" w:before="40"/>
      </w:pPr>
      <w:r>
        <w:rPr>
          <w:rFonts w:ascii="Arial" w:cs="Arial" w:eastAsia="Arial" w:hAnsi="Arial"/>
          <w:color w:val="404040"/>
          <w:sz w:val="22"/>
          <w:szCs w:val="22"/>
        </w:rPr>
        <w:t xml:space="preserve">Sortino 1.23 vs target 1.5 — moderate downside-adjusted performance; upside capture is constrained</w:t>
      </w:r>
    </w:p>
    <w:p>
      <w:pPr>
        <w:pStyle w:val="ListParagraph"/>
        <w:numPr>
          <w:ilvl w:val="0"/>
          <w:numId w:val="2"/>
        </w:numPr>
        <w:spacing w:after="40" w:before="40"/>
      </w:pPr>
      <w:r>
        <w:rPr>
          <w:rFonts w:ascii="Arial" w:cs="Arial" w:eastAsia="Arial" w:hAnsi="Arial"/>
          <w:color w:val="404040"/>
          <w:sz w:val="22"/>
          <w:szCs w:val="22"/>
        </w:rPr>
        <w:t xml:space="preserve">Calmar 0.49 vs target 1.0 — the return-to-max-drawdown ratio indicates that return is under-extracted relative to the drawdown already accepted</w:t>
      </w:r>
    </w:p>
    <w:p>
      <w:pPr>
        <w:pStyle w:val="ListParagraph"/>
        <w:numPr>
          <w:ilvl w:val="0"/>
          <w:numId w:val="2"/>
        </w:numPr>
        <w:spacing w:after="40" w:before="40"/>
      </w:pPr>
      <w:r>
        <w:rPr>
          <w:rFonts w:ascii="Arial" w:cs="Arial" w:eastAsia="Arial" w:hAnsi="Arial"/>
          <w:color w:val="404040"/>
          <w:sz w:val="22"/>
          <w:szCs w:val="22"/>
        </w:rPr>
        <w:t xml:space="preserve">Max DD -6.46% vs target &lt; 8% — passes; survivability is intact and should not be sacrificed</w:t>
      </w:r>
    </w:p>
    <w:p>
      <w:pPr>
        <w:pStyle w:val="ListParagraph"/>
        <w:numPr>
          <w:ilvl w:val="0"/>
          <w:numId w:val="2"/>
        </w:numPr>
        <w:spacing w:after="40" w:before="40"/>
      </w:pPr>
      <w:r>
        <w:rPr>
          <w:rFonts w:ascii="Arial" w:cs="Arial" w:eastAsia="Arial" w:hAnsi="Arial"/>
          <w:color w:val="404040"/>
          <w:sz w:val="22"/>
          <w:szCs w:val="22"/>
        </w:rPr>
        <w:t xml:space="preserve">Corr SPY 0.036 vs target &lt; 0.35 — passes; structural independence from equity beta is maintained</w:t>
      </w:r>
    </w:p>
    <w:p>
      <w:pPr>
        <w:spacing w:after="0" w:before="100"/>
      </w:pPr>
      <w:r>
        <w:t xml:space="preserve"/>
      </w:r>
    </w:p>
    <w:p>
      <w:pPr>
        <w:pStyle w:val="Heading2"/>
        <w:spacing w:after="120" w:before="300"/>
      </w:pPr>
      <w:r>
        <w:rPr>
          <w:rFonts w:ascii="Arial" w:cs="Arial" w:eastAsia="Arial" w:hAnsi="Arial"/>
          <w:b/>
          <w:bCs/>
          <w:color w:val="2E5FA3"/>
          <w:sz w:val="28"/>
          <w:szCs w:val="28"/>
        </w:rPr>
        <w:t xml:space="preserve">1.3 The Asymmetry Insight</w:t>
      </w:r>
    </w:p>
    <w:p>
      <w:pPr>
        <w:spacing w:after="80" w:before="80"/>
      </w:pPr>
      <w:r>
        <w:rPr>
          <w:rFonts w:ascii="Arial" w:cs="Arial" w:eastAsia="Arial" w:hAnsi="Arial"/>
          <w:color w:val="404040"/>
          <w:sz w:val="22"/>
          <w:szCs w:val="22"/>
        </w:rPr>
        <w:t xml:space="preserve">The system's advantage is clearest in crisis periods (e.g. Corona 2020). When equity markets collapse violently, PolyAgora's admissibility geometry detects collapse early, enters defensive posture, and preserves recoverability. The relative performance is strong. The gap opens in </w:t>
      </w:r>
      <w:r>
        <w:rPr>
          <w:rFonts w:ascii="Arial" w:cs="Arial" w:eastAsia="Arial" w:hAnsi="Arial"/>
          <w:b/>
          <w:bCs/>
          <w:color w:val="404040"/>
          <w:sz w:val="22"/>
          <w:szCs w:val="22"/>
        </w:rPr>
        <w:t xml:space="preserve">persistent reflation regimes</w:t>
      </w:r>
      <w:r>
        <w:rPr>
          <w:rFonts w:ascii="Arial" w:cs="Arial" w:eastAsia="Arial" w:hAnsi="Arial"/>
          <w:color w:val="404040"/>
          <w:sz w:val="22"/>
          <w:szCs w:val="22"/>
        </w:rPr>
        <w:t xml:space="preserve"> — the post-rupture recovery phase where liquidity-driven expansion, momentum persistence, and beta reflation produce large gains that the system does not fully capture. This is not a failure. It is the consequence of a correctly sequenced design priority: governance before convexity. Phase-II adds the convexity layer on top of the existing governance foundation.</w:t>
      </w:r>
    </w:p>
    <w:p>
      <w:pPr>
        <w:spacing w:after="0" w:before="200"/>
      </w:pPr>
      <w:r>
        <w:t xml:space="preserve"/>
      </w:r>
    </w:p>
    <w:p>
      <w:pPr>
        <w:spacing w:after="0" w:before="0"/>
      </w:pPr>
      <w:r>
        <w:br w:type="page"/>
      </w:r>
    </w:p>
    <w:p>
      <w:pPr>
        <w:pStyle w:val="Heading1"/>
        <w:pBdr>
          <w:bottom w:val="single" w:color="4472C4" w:sz="8"/>
        </w:pBdr>
        <w:spacing w:after="200" w:before="400"/>
      </w:pPr>
      <w:r>
        <w:rPr>
          <w:rFonts w:ascii="Arial" w:cs="Arial" w:eastAsia="Arial" w:hAnsi="Arial"/>
          <w:b/>
          <w:bCs/>
          <w:color w:val="1F3864"/>
          <w:sz w:val="36"/>
          <w:szCs w:val="36"/>
        </w:rPr>
        <w:t xml:space="preserve">2. Inviolable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FAD7D3" w:val="clear"/>
            <w:tcMar>
              <w:top w:type="dxa" w:w="140"/>
              <w:left w:type="dxa" w:w="220"/>
              <w:bottom w:type="dxa" w:w="140"/>
              <w:right w:type="dxa" w:w="220"/>
            </w:tcMar>
          </w:tcPr>
          <w:p>
            <w:pPr>
              <w:spacing w:after="80" w:before="0"/>
            </w:pPr>
            <w:r>
              <w:rPr>
                <w:rFonts w:ascii="Arial" w:cs="Arial" w:eastAsia="Arial" w:hAnsi="Arial"/>
                <w:b/>
                <w:bCs/>
                <w:color w:val="C0392B"/>
                <w:sz w:val="22"/>
                <w:szCs w:val="22"/>
              </w:rPr>
              <w:t xml:space="preserve">What Must NOT Be Broken</w:t>
            </w:r>
          </w:p>
          <w:p>
            <w:pPr>
              <w:spacing w:after="120" w:before="0"/>
            </w:pPr>
            <w:r>
              <w:rPr>
                <w:rFonts w:ascii="Arial" w:cs="Arial" w:eastAsia="Arial" w:hAnsi="Arial"/>
                <w:color w:val="404040"/>
                <w:sz w:val="21"/>
                <w:szCs w:val="21"/>
              </w:rPr>
              <w:t xml:space="preserve">The following properties are architectural invariants. Any Phase-II modification that degrades these properties is rejected regardless of return improvement. The CTO team must validate all invariants at each iteration.</w:t>
            </w:r>
          </w:p>
          <w:p>
            <w:pPr>
              <w:pStyle w:val="ListParagraph"/>
              <w:numPr>
                <w:ilvl w:val="0"/>
                <w:numId w:val="2"/>
              </w:numPr>
              <w:spacing w:after="40" w:before="40"/>
            </w:pPr>
            <w:r>
              <w:rPr>
                <w:rFonts w:ascii="Arial" w:cs="Arial" w:eastAsia="Arial" w:hAnsi="Arial"/>
                <w:color w:val="404040"/>
                <w:sz w:val="21"/>
                <w:szCs w:val="21"/>
              </w:rPr>
              <w:t xml:space="preserve">Low drawdown behavior — Max DD must remain below 10% under stress-tested regimes; the V7.10 baseline of -6.46% is the target floor</w:t>
            </w:r>
          </w:p>
          <w:p>
            <w:pPr>
              <w:pStyle w:val="ListParagraph"/>
              <w:numPr>
                <w:ilvl w:val="0"/>
                <w:numId w:val="2"/>
              </w:numPr>
              <w:spacing w:after="40" w:before="40"/>
            </w:pPr>
            <w:r>
              <w:rPr>
                <w:rFonts w:ascii="Arial" w:cs="Arial" w:eastAsia="Arial" w:hAnsi="Arial"/>
                <w:color w:val="404040"/>
                <w:sz w:val="21"/>
                <w:szCs w:val="21"/>
              </w:rPr>
              <w:t xml:space="preserve">Transition handling — the system must continue detecting and navigating regime transitions before they manifest as visible market dislocations</w:t>
            </w:r>
          </w:p>
          <w:p>
            <w:pPr>
              <w:pStyle w:val="ListParagraph"/>
              <w:numPr>
                <w:ilvl w:val="0"/>
                <w:numId w:val="2"/>
              </w:numPr>
              <w:spacing w:after="40" w:before="40"/>
            </w:pPr>
            <w:r>
              <w:rPr>
                <w:rFonts w:ascii="Arial" w:cs="Arial" w:eastAsia="Arial" w:hAnsi="Arial"/>
                <w:color w:val="404040"/>
                <w:sz w:val="21"/>
                <w:szCs w:val="21"/>
              </w:rPr>
              <w:t xml:space="preserve">Collapse survivability — the architecture must maintain structural superiority in 2008-type and 2020-type collapse scenarios</w:t>
            </w:r>
          </w:p>
          <w:p>
            <w:pPr>
              <w:pStyle w:val="ListParagraph"/>
              <w:numPr>
                <w:ilvl w:val="0"/>
                <w:numId w:val="2"/>
              </w:numPr>
              <w:spacing w:after="40" w:before="40"/>
            </w:pPr>
            <w:r>
              <w:rPr>
                <w:rFonts w:ascii="Arial" w:cs="Arial" w:eastAsia="Arial" w:hAnsi="Arial"/>
                <w:color w:val="404040"/>
                <w:sz w:val="21"/>
                <w:szCs w:val="21"/>
              </w:rPr>
              <w:t xml:space="preserve">Governance discipline — admissibility logic, block qualification, and zone classification remain the primary allocation arbiters</w:t>
            </w:r>
          </w:p>
          <w:p>
            <w:pPr>
              <w:pStyle w:val="ListParagraph"/>
              <w:numPr>
                <w:ilvl w:val="0"/>
                <w:numId w:val="2"/>
              </w:numPr>
              <w:spacing w:after="40" w:before="40"/>
            </w:pPr>
            <w:r>
              <w:rPr>
                <w:rFonts w:ascii="Arial" w:cs="Arial" w:eastAsia="Arial" w:hAnsi="Arial"/>
                <w:color w:val="404040"/>
                <w:sz w:val="21"/>
                <w:szCs w:val="21"/>
              </w:rPr>
              <w:t xml:space="preserve">Anti-fragility characteristics — the system must benefit from, not merely survive, rupture regimes</w:t>
            </w:r>
          </w:p>
          <w:p>
            <w:pPr>
              <w:pStyle w:val="ListParagraph"/>
              <w:numPr>
                <w:ilvl w:val="0"/>
                <w:numId w:val="2"/>
              </w:numPr>
              <w:spacing w:after="40" w:before="40"/>
            </w:pPr>
            <w:r>
              <w:rPr>
                <w:rFonts w:ascii="Arial" w:cs="Arial" w:eastAsia="Arial" w:hAnsi="Arial"/>
                <w:color w:val="404040"/>
                <w:sz w:val="21"/>
                <w:szCs w:val="21"/>
              </w:rPr>
              <w:t xml:space="preserve">Near-zero SPY correlation — structural independence from equity beta must be preserved (Corr SPY &lt; 0.15 target)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FEF3CD" w:val="clear"/>
            <w:tcMar>
              <w:top w:type="dxa" w:w="140"/>
              <w:left w:type="dxa" w:w="220"/>
              <w:bottom w:type="dxa" w:w="140"/>
              <w:right w:type="dxa" w:w="220"/>
            </w:tcMar>
          </w:tcPr>
          <w:p>
            <w:pPr>
              <w:spacing w:after="80" w:before="0"/>
            </w:pPr>
            <w:r>
              <w:rPr>
                <w:rFonts w:ascii="Arial" w:cs="Arial" w:eastAsia="Arial" w:hAnsi="Arial"/>
                <w:b/>
                <w:bCs/>
                <w:color w:val="D4A017"/>
                <w:sz w:val="22"/>
                <w:szCs w:val="22"/>
              </w:rPr>
              <w:t xml:space="preserve">What Phase-II Is NOT</w:t>
            </w:r>
          </w:p>
          <w:p>
            <w:pPr>
              <w:pStyle w:val="ListParagraph"/>
              <w:numPr>
                <w:ilvl w:val="0"/>
                <w:numId w:val="2"/>
              </w:numPr>
              <w:spacing w:after="40" w:before="40"/>
            </w:pPr>
            <w:r>
              <w:rPr>
                <w:rFonts w:ascii="Arial" w:cs="Arial" w:eastAsia="Arial" w:hAnsi="Arial"/>
                <w:color w:val="404040"/>
                <w:sz w:val="21"/>
                <w:szCs w:val="21"/>
              </w:rPr>
              <w:t xml:space="preserve">Not a momentum engine — Phase-II does not add pure trend-following beta</w:t>
            </w:r>
          </w:p>
          <w:p>
            <w:pPr>
              <w:pStyle w:val="ListParagraph"/>
              <w:numPr>
                <w:ilvl w:val="0"/>
                <w:numId w:val="2"/>
              </w:numPr>
              <w:spacing w:after="40" w:before="40"/>
            </w:pPr>
            <w:r>
              <w:rPr>
                <w:rFonts w:ascii="Arial" w:cs="Arial" w:eastAsia="Arial" w:hAnsi="Arial"/>
                <w:color w:val="404040"/>
                <w:sz w:val="21"/>
                <w:szCs w:val="21"/>
              </w:rPr>
              <w:t xml:space="preserve">Not a CTA blend — sleeve construction does not replicate managed futures systematically</w:t>
            </w:r>
          </w:p>
          <w:p>
            <w:pPr>
              <w:pStyle w:val="ListParagraph"/>
              <w:numPr>
                <w:ilvl w:val="0"/>
                <w:numId w:val="2"/>
              </w:numPr>
              <w:spacing w:after="40" w:before="40"/>
            </w:pPr>
            <w:r>
              <w:rPr>
                <w:rFonts w:ascii="Arial" w:cs="Arial" w:eastAsia="Arial" w:hAnsi="Arial"/>
                <w:color w:val="404040"/>
                <w:sz w:val="21"/>
                <w:szCs w:val="21"/>
              </w:rPr>
              <w:t xml:space="preserve">Not a portfolio optimizer — mean-variance or risk-parity logic does not replace governance</w:t>
            </w:r>
          </w:p>
          <w:p>
            <w:pPr>
              <w:pStyle w:val="ListParagraph"/>
              <w:numPr>
                <w:ilvl w:val="0"/>
                <w:numId w:val="2"/>
              </w:numPr>
              <w:spacing w:after="40" w:before="40"/>
            </w:pPr>
            <w:r>
              <w:rPr>
                <w:rFonts w:ascii="Arial" w:cs="Arial" w:eastAsia="Arial" w:hAnsi="Arial"/>
                <w:color w:val="404040"/>
                <w:sz w:val="21"/>
                <w:szCs w:val="21"/>
              </w:rPr>
              <w:t xml:space="preserve">Not a prediction system — the architecture remains a regime classifier, not a forecaster</w:t>
            </w:r>
          </w:p>
          <w:p>
            <w:pPr>
              <w:pStyle w:val="ListParagraph"/>
              <w:numPr>
                <w:ilvl w:val="0"/>
                <w:numId w:val="2"/>
              </w:numPr>
              <w:spacing w:after="40" w:before="40"/>
            </w:pPr>
            <w:r>
              <w:rPr>
                <w:rFonts w:ascii="Arial" w:cs="Arial" w:eastAsia="Arial" w:hAnsi="Arial"/>
                <w:color w:val="404040"/>
                <w:sz w:val="21"/>
                <w:szCs w:val="21"/>
              </w:rPr>
              <w:t xml:space="preserve">Not more signals — the solution is not more indicators but better convexity exploitation within admitted regimes</w:t>
            </w:r>
          </w:p>
        </w:tc>
      </w:tr>
    </w:tbl>
    <w:p>
      <w:pPr>
        <w:spacing w:after="0" w:before="200"/>
      </w:pPr>
      <w:r>
        <w:t xml:space="preserve"/>
      </w:r>
    </w:p>
    <w:p>
      <w:pPr>
        <w:spacing w:after="0" w:before="0"/>
      </w:pPr>
      <w:r>
        <w:br w:type="page"/>
      </w:r>
    </w:p>
    <w:p>
      <w:pPr>
        <w:pStyle w:val="Heading1"/>
        <w:pBdr>
          <w:bottom w:val="single" w:color="4472C4" w:sz="8"/>
        </w:pBdr>
        <w:spacing w:after="200" w:before="400"/>
      </w:pPr>
      <w:r>
        <w:rPr>
          <w:rFonts w:ascii="Arial" w:cs="Arial" w:eastAsia="Arial" w:hAnsi="Arial"/>
          <w:b/>
          <w:bCs/>
          <w:color w:val="1F3864"/>
          <w:sz w:val="36"/>
          <w:szCs w:val="36"/>
        </w:rPr>
        <w:t xml:space="preserve">3. Mature Runtime Architecture</w:t>
      </w:r>
    </w:p>
    <w:p>
      <w:pPr>
        <w:spacing w:after="80" w:before="80"/>
      </w:pPr>
      <w:r>
        <w:rPr>
          <w:rFonts w:ascii="Arial" w:cs="Arial" w:eastAsia="Arial" w:hAnsi="Arial"/>
          <w:color w:val="404040"/>
          <w:sz w:val="22"/>
          <w:szCs w:val="22"/>
        </w:rPr>
        <w:t xml:space="preserve">PolyAgora evolves from </w:t>
      </w:r>
      <w:r>
        <w:rPr>
          <w:rFonts w:ascii="Arial" w:cs="Arial" w:eastAsia="Arial" w:hAnsi="Arial"/>
          <w:b/>
          <w:bCs/>
          <w:color w:val="404040"/>
          <w:sz w:val="22"/>
          <w:szCs w:val="22"/>
        </w:rPr>
        <w:t xml:space="preserve">governed ensemble allocation</w:t>
      </w:r>
      <w:r>
        <w:rPr>
          <w:rFonts w:ascii="Arial" w:cs="Arial" w:eastAsia="Arial" w:hAnsi="Arial"/>
          <w:color w:val="404040"/>
          <w:sz w:val="22"/>
          <w:szCs w:val="22"/>
        </w:rPr>
        <w:t xml:space="preserve"> into </w:t>
      </w:r>
      <w:r>
        <w:rPr>
          <w:rFonts w:ascii="Arial" w:cs="Arial" w:eastAsia="Arial" w:hAnsi="Arial"/>
          <w:b/>
          <w:bCs/>
          <w:color w:val="404040"/>
          <w:sz w:val="22"/>
          <w:szCs w:val="22"/>
        </w:rPr>
        <w:t xml:space="preserve">runtime recoverability steering under regime deformation</w:t>
      </w:r>
      <w:r>
        <w:rPr>
          <w:rFonts w:ascii="Arial" w:cs="Arial" w:eastAsia="Arial" w:hAnsi="Arial"/>
          <w:color w:val="404040"/>
          <w:sz w:val="22"/>
          <w:szCs w:val="22"/>
        </w:rPr>
        <w:t xml:space="preserve">. The mature system is a semantic-governance runtime for maneuvering through changing market geometries.</w:t>
      </w:r>
    </w:p>
    <w:p>
      <w:pPr>
        <w:spacing w:after="0" w:before="80"/>
      </w:pPr>
      <w:r>
        <w:t xml:space="preserve"/>
      </w:r>
    </w:p>
    <w:p>
      <w:pPr>
        <w:spacing w:after="80" w:before="80"/>
      </w:pPr>
      <w:r>
        <w:rPr>
          <w:rFonts w:ascii="Arial" w:cs="Arial" w:eastAsia="Arial" w:hAnsi="Arial"/>
          <w:color w:val="404040"/>
          <w:sz w:val="22"/>
          <w:szCs w:val="22"/>
        </w:rPr>
        <w:t xml:space="preserve">Target equation: </w:t>
      </w:r>
      <w:r>
        <w:rPr>
          <w:rFonts w:ascii="Arial" w:cs="Arial" w:eastAsia="Arial" w:hAnsi="Arial"/>
          <w:b/>
          <w:bCs/>
          <w:color w:val="404040"/>
          <w:sz w:val="22"/>
          <w:szCs w:val="22"/>
        </w:rPr>
        <w:t xml:space="preserve">Governance Core + Convexity Sleeves + MRTP Steering + Dynamic Kelly + Recoverability Geometry</w:t>
      </w:r>
    </w:p>
    <w:p>
      <w:pPr>
        <w:spacing w:after="0" w:before="80"/>
      </w:pPr>
      <w:r>
        <w:t xml:space="preserve"/>
      </w:r>
    </w:p>
    <w:p>
      <w:pPr>
        <w:spacing w:after="80" w:before="80"/>
      </w:pPr>
      <w:r>
        <w:rPr>
          <w:rFonts w:ascii="Arial" w:cs="Arial" w:eastAsia="Arial" w:hAnsi="Arial"/>
          <w:color w:val="404040"/>
          <w:sz w:val="22"/>
          <w:szCs w:val="22"/>
        </w:rPr>
        <w:t xml:space="preserve">Critical semantic shift: safety is redefined from </w:t>
      </w:r>
      <w:r>
        <w:rPr>
          <w:rFonts w:ascii="Arial" w:cs="Arial" w:eastAsia="Arial" w:hAnsi="Arial"/>
          <w:b/>
          <w:bCs/>
          <w:color w:val="404040"/>
          <w:sz w:val="22"/>
          <w:szCs w:val="22"/>
        </w:rPr>
        <w:t xml:space="preserve">Defensiveness</w:t>
      </w:r>
      <w:r>
        <w:rPr>
          <w:rFonts w:ascii="Arial" w:cs="Arial" w:eastAsia="Arial" w:hAnsi="Arial"/>
          <w:color w:val="404040"/>
          <w:sz w:val="22"/>
          <w:szCs w:val="22"/>
        </w:rPr>
        <w:t xml:space="preserve"> to </w:t>
      </w:r>
      <w:r>
        <w:rPr>
          <w:rFonts w:ascii="Arial" w:cs="Arial" w:eastAsia="Arial" w:hAnsi="Arial"/>
          <w:b/>
          <w:bCs/>
          <w:color w:val="404040"/>
          <w:sz w:val="22"/>
          <w:szCs w:val="22"/>
        </w:rPr>
        <w:t xml:space="preserve">Recoverable Convex Participation</w:t>
      </w:r>
      <w:r>
        <w:rPr>
          <w:rFonts w:ascii="Arial" w:cs="Arial" w:eastAsia="Arial" w:hAnsi="Arial"/>
          <w:color w:val="404040"/>
          <w:sz w:val="22"/>
          <w:szCs w:val="22"/>
        </w:rPr>
        <w:t xml:space="preserve">. Cash becomes temporary ridge reserve, not a dominant state.</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0D0D0" w:sz="4"/>
              <w:left w:val="single" w:color="D0D0D0" w:sz="4"/>
              <w:bottom w:val="single" w:color="D0D0D0" w:sz="4"/>
              <w:right w:val="single" w:color="D0D0D0" w:sz="4"/>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Layer</w:t>
            </w:r>
          </w:p>
        </w:tc>
        <w:tc>
          <w:tcPr>
            <w:tcW w:type="dxa" w:w="2200"/>
            <w:tcBorders>
              <w:top w:val="single" w:color="D0D0D0" w:sz="4"/>
              <w:left w:val="single" w:color="D0D0D0" w:sz="4"/>
              <w:bottom w:val="single" w:color="D0D0D0" w:sz="4"/>
              <w:right w:val="single" w:color="D0D0D0" w:sz="4"/>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Responsibility</w:t>
            </w:r>
          </w:p>
        </w:tc>
        <w:tc>
          <w:tcPr>
            <w:tcW w:type="dxa" w:w="2400"/>
            <w:tcBorders>
              <w:top w:val="single" w:color="D0D0D0" w:sz="4"/>
              <w:left w:val="single" w:color="D0D0D0" w:sz="4"/>
              <w:bottom w:val="single" w:color="D0D0D0" w:sz="4"/>
              <w:right w:val="single" w:color="D0D0D0" w:sz="4"/>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Key Inputs</w:t>
            </w:r>
          </w:p>
        </w:tc>
        <w:tc>
          <w:tcPr>
            <w:tcW w:type="dxa" w:w="2160"/>
            <w:tcBorders>
              <w:top w:val="single" w:color="D0D0D0" w:sz="4"/>
              <w:left w:val="single" w:color="D0D0D0" w:sz="4"/>
              <w:bottom w:val="single" w:color="D0D0D0" w:sz="4"/>
              <w:right w:val="single" w:color="D0D0D0" w:sz="4"/>
            </w:tcBorders>
            <w:shd w:fill="1F3864"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Key Outputs</w:t>
            </w:r>
          </w:p>
        </w:tc>
      </w:tr>
      <w:tr>
        <w:tc>
          <w:tcPr>
            <w:tcW w:type="dxa" w:w="2600"/>
            <w:tcBorders>
              <w:top w:val="single" w:color="D0D0D0" w:sz="4"/>
              <w:left w:val="single" w:color="D0D0D0" w:sz="4"/>
              <w:bottom w:val="single" w:color="D0D0D0" w:sz="4"/>
              <w:right w:val="single" w:color="D0D0D0" w:sz="4"/>
            </w:tcBorders>
            <w:shd w:fill="D6E4F0" w:val="clear"/>
            <w:tcMar>
              <w:top w:type="dxa" w:w="80"/>
              <w:left w:type="dxa" w:w="140"/>
              <w:bottom w:type="dxa" w:w="80"/>
              <w:right w:type="dxa" w:w="140"/>
            </w:tcMar>
          </w:tcPr>
          <w:p>
            <w:pPr>
              <w:spacing w:after="0" w:before="0"/>
            </w:pPr>
            <w:r>
              <w:rPr>
                <w:rFonts w:ascii="Arial" w:cs="Arial" w:eastAsia="Arial" w:hAnsi="Arial"/>
                <w:b/>
                <w:bCs/>
                <w:color w:val="1F3864"/>
                <w:sz w:val="19"/>
                <w:szCs w:val="19"/>
              </w:rPr>
              <w:t xml:space="preserve">1. Governance Core</w:t>
            </w:r>
          </w:p>
        </w:tc>
        <w:tc>
          <w:tcPr>
            <w:tcW w:type="dxa" w:w="2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Admissibility, regime qualification, fragmentation detection, survivability</w:t>
            </w:r>
          </w:p>
        </w:tc>
        <w:tc>
          <w:tcPr>
            <w:tcW w:type="dxa" w:w="2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Reference Polygon, Survival Matrix, Block/Star logic</w:t>
            </w:r>
          </w:p>
        </w:tc>
        <w:tc>
          <w:tcPr>
            <w:tcW w:type="dxa" w:w="21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Governance State, β-Admissibility, Zone classification</w:t>
            </w:r>
          </w:p>
        </w:tc>
      </w:tr>
      <w:tr>
        <w:tc>
          <w:tcPr>
            <w:tcW w:type="dxa" w:w="2600"/>
            <w:tcBorders>
              <w:top w:val="single" w:color="D0D0D0" w:sz="4"/>
              <w:left w:val="single" w:color="D0D0D0" w:sz="4"/>
              <w:bottom w:val="single" w:color="D0D0D0" w:sz="4"/>
              <w:right w:val="single" w:color="D0D0D0" w:sz="4"/>
            </w:tcBorders>
            <w:shd w:fill="D5F0E3" w:val="clear"/>
            <w:tcMar>
              <w:top w:type="dxa" w:w="80"/>
              <w:left w:type="dxa" w:w="140"/>
              <w:bottom w:type="dxa" w:w="80"/>
              <w:right w:type="dxa" w:w="140"/>
            </w:tcMar>
          </w:tcPr>
          <w:p>
            <w:pPr>
              <w:spacing w:after="0" w:before="0"/>
            </w:pPr>
            <w:r>
              <w:rPr>
                <w:rFonts w:ascii="Arial" w:cs="Arial" w:eastAsia="Arial" w:hAnsi="Arial"/>
                <w:b/>
                <w:bCs/>
                <w:color w:val="1F3864"/>
                <w:sz w:val="19"/>
                <w:szCs w:val="19"/>
              </w:rPr>
              <w:t xml:space="preserve">2. Convexity Sleeves</w:t>
            </w:r>
          </w:p>
        </w:tc>
        <w:tc>
          <w:tcPr>
            <w:tcW w:type="dxa" w:w="2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Governed convex return extraction; replaces passive defensiveness</w:t>
            </w:r>
          </w:p>
        </w:tc>
        <w:tc>
          <w:tcPr>
            <w:tcW w:type="dxa" w:w="2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Sleeve Registry, Admissibility gate, Contribution tests</w:t>
            </w:r>
          </w:p>
        </w:tc>
        <w:tc>
          <w:tcPr>
            <w:tcW w:type="dxa" w:w="21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Sleeve weights, Convexity exposure vector</w:t>
            </w:r>
          </w:p>
        </w:tc>
      </w:tr>
      <w:tr>
        <w:tc>
          <w:tcPr>
            <w:tcW w:type="dxa" w:w="2600"/>
            <w:tcBorders>
              <w:top w:val="single" w:color="D0D0D0" w:sz="4"/>
              <w:left w:val="single" w:color="D0D0D0" w:sz="4"/>
              <w:bottom w:val="single" w:color="D0D0D0" w:sz="4"/>
              <w:right w:val="single" w:color="D0D0D0" w:sz="4"/>
            </w:tcBorders>
            <w:shd w:fill="FEF3CD" w:val="clear"/>
            <w:tcMar>
              <w:top w:type="dxa" w:w="80"/>
              <w:left w:type="dxa" w:w="140"/>
              <w:bottom w:type="dxa" w:w="80"/>
              <w:right w:type="dxa" w:w="140"/>
            </w:tcMar>
          </w:tcPr>
          <w:p>
            <w:pPr>
              <w:spacing w:after="0" w:before="0"/>
            </w:pPr>
            <w:r>
              <w:rPr>
                <w:rFonts w:ascii="Arial" w:cs="Arial" w:eastAsia="Arial" w:hAnsi="Arial"/>
                <w:b/>
                <w:bCs/>
                <w:color w:val="1F3864"/>
                <w:sz w:val="19"/>
                <w:szCs w:val="19"/>
              </w:rPr>
              <w:t xml:space="preserve">3. MRTP Steering</w:t>
            </w:r>
          </w:p>
        </w:tc>
        <w:tc>
          <w:tcPr>
            <w:tcW w:type="dxa" w:w="2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Maximum Recoverable Trajectory — runtime trajectory choice</w:t>
            </w:r>
          </w:p>
        </w:tc>
        <w:tc>
          <w:tcPr>
            <w:tcW w:type="dxa" w:w="2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Corridor metrics, Ridge pressure, Transition scores</w:t>
            </w:r>
          </w:p>
        </w:tc>
        <w:tc>
          <w:tcPr>
            <w:tcW w:type="dxa" w:w="21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Trajectory ranking, Convexity control decisions</w:t>
            </w:r>
          </w:p>
        </w:tc>
      </w:tr>
      <w:tr>
        <w:tc>
          <w:tcPr>
            <w:tcW w:type="dxa" w:w="2600"/>
            <w:tcBorders>
              <w:top w:val="single" w:color="D0D0D0" w:sz="4"/>
              <w:left w:val="single" w:color="D0D0D0" w:sz="4"/>
              <w:bottom w:val="single" w:color="D0D0D0" w:sz="4"/>
              <w:right w:val="single" w:color="D0D0D0" w:sz="4"/>
            </w:tcBorders>
            <w:shd w:fill="FAD7D3" w:val="clear"/>
            <w:tcMar>
              <w:top w:type="dxa" w:w="80"/>
              <w:left w:type="dxa" w:w="140"/>
              <w:bottom w:type="dxa" w:w="80"/>
              <w:right w:type="dxa" w:w="140"/>
            </w:tcMar>
          </w:tcPr>
          <w:p>
            <w:pPr>
              <w:spacing w:after="0" w:before="0"/>
            </w:pPr>
            <w:r>
              <w:rPr>
                <w:rFonts w:ascii="Arial" w:cs="Arial" w:eastAsia="Arial" w:hAnsi="Arial"/>
                <w:b/>
                <w:bCs/>
                <w:color w:val="1F3864"/>
                <w:sz w:val="19"/>
                <w:szCs w:val="19"/>
              </w:rPr>
              <w:t xml:space="preserve">4. Dynamic Kelly</w:t>
            </w:r>
          </w:p>
        </w:tc>
        <w:tc>
          <w:tcPr>
            <w:tcW w:type="dxa" w:w="22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Governed leverage scaling by recoverability state</w:t>
            </w:r>
          </w:p>
        </w:tc>
        <w:tc>
          <w:tcPr>
            <w:tcW w:type="dxa" w:w="240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Admissibility β, Recoverability R, Fragmentation F, Corridor C</w:t>
            </w:r>
          </w:p>
        </w:tc>
        <w:tc>
          <w:tcPr>
            <w:tcW w:type="dxa" w:w="2160"/>
            <w:tcBorders>
              <w:top w:val="single" w:color="D0D0D0" w:sz="4"/>
              <w:left w:val="single" w:color="D0D0D0" w:sz="4"/>
              <w:bottom w:val="single" w:color="D0D0D0" w:sz="4"/>
              <w:right w:val="single" w:color="D0D0D0"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Position sizing multiplier f_t</w:t>
            </w:r>
          </w:p>
        </w:tc>
      </w:tr>
      <w:tr>
        <w:tc>
          <w:tcPr>
            <w:tcW w:type="dxa" w:w="2600"/>
            <w:tcBorders>
              <w:top w:val="single" w:color="D0D0D0" w:sz="4"/>
              <w:left w:val="single" w:color="D0D0D0" w:sz="4"/>
              <w:bottom w:val="single" w:color="D0D0D0" w:sz="4"/>
              <w:right w:val="single" w:color="D0D0D0" w:sz="4"/>
            </w:tcBorders>
            <w:shd w:fill="D6E4F0" w:val="clear"/>
            <w:tcMar>
              <w:top w:type="dxa" w:w="80"/>
              <w:left w:type="dxa" w:w="140"/>
              <w:bottom w:type="dxa" w:w="80"/>
              <w:right w:type="dxa" w:w="140"/>
            </w:tcMar>
          </w:tcPr>
          <w:p>
            <w:pPr>
              <w:spacing w:after="0" w:before="0"/>
            </w:pPr>
            <w:r>
              <w:rPr>
                <w:rFonts w:ascii="Arial" w:cs="Arial" w:eastAsia="Arial" w:hAnsi="Arial"/>
                <w:b/>
                <w:bCs/>
                <w:color w:val="1F3864"/>
                <w:sz w:val="19"/>
                <w:szCs w:val="19"/>
              </w:rPr>
              <w:t xml:space="preserve">5. Recoverability Geometry</w:t>
            </w:r>
          </w:p>
        </w:tc>
        <w:tc>
          <w:tcPr>
            <w:tcW w:type="dxa" w:w="22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State-space topology: corridors, ridges, fragmentation fields</w:t>
            </w:r>
          </w:p>
        </w:tc>
        <w:tc>
          <w:tcPr>
            <w:tcW w:type="dxa" w:w="240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Market geometry, Survival Matrix, Block coherence</w:t>
            </w:r>
          </w:p>
        </w:tc>
        <w:tc>
          <w:tcPr>
            <w:tcW w:type="dxa" w:w="2160"/>
            <w:tcBorders>
              <w:top w:val="single" w:color="D0D0D0" w:sz="4"/>
              <w:left w:val="single" w:color="D0D0D0" w:sz="4"/>
              <w:bottom w:val="single" w:color="D0D0D0" w:sz="4"/>
              <w:right w:val="single" w:color="D0D0D0"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19"/>
                <w:szCs w:val="19"/>
              </w:rPr>
              <w:t xml:space="preserve">Corridor width, Ridge pressure, Re-entry probability</w:t>
            </w:r>
          </w:p>
        </w:tc>
      </w:tr>
    </w:tbl>
    <w:p>
      <w:pPr>
        <w:spacing w:after="0" w:before="200"/>
      </w:pPr>
      <w:r>
        <w:t xml:space="preserve"/>
      </w:r>
    </w:p>
    <w:p>
      <w:pPr>
        <w:spacing w:after="0" w:before="0"/>
      </w:pPr>
      <w:r>
        <w:br w:type="page"/>
      </w:r>
    </w:p>
    <w:p>
      <w:pPr>
        <w:pStyle w:val="Heading2"/>
        <w:spacing w:after="120" w:before="300"/>
      </w:pPr>
      <w:r>
        <w:rPr>
          <w:rFonts w:ascii="Arial" w:cs="Arial" w:eastAsia="Arial" w:hAnsi="Arial"/>
          <w:b/>
          <w:bCs/>
          <w:color w:val="2E5FA3"/>
          <w:sz w:val="28"/>
          <w:szCs w:val="28"/>
        </w:rPr>
        <w:t xml:space="preserve">3.1 Governance Core</w:t>
      </w:r>
    </w:p>
    <w:p>
      <w:pPr>
        <w:spacing w:after="80" w:before="80"/>
      </w:pPr>
      <w:r>
        <w:rPr>
          <w:rFonts w:ascii="Arial" w:cs="Arial" w:eastAsia="Arial" w:hAnsi="Arial"/>
          <w:color w:val="404040"/>
          <w:sz w:val="22"/>
          <w:szCs w:val="22"/>
        </w:rPr>
        <w:t xml:space="preserve">The Governance Core remains the primary stabilizing intelligence. It must not be modified in Phase-II. Its function is admissibility control, regime qualification, fragmentation detection, and survivability preservation. All other layers operate downstream of, and conditional upon, the Governance Core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Input</w:t>
            </w:r>
          </w:p>
        </w:tc>
        <w:tc>
          <w:tcPr>
            <w:tcW w:type="dxa" w:w="656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Reference Polygon</w:t>
            </w:r>
          </w:p>
        </w:tc>
        <w:tc>
          <w:tcPr>
            <w:tcW w:type="dxa" w:w="65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Core market geometry: inflation, growth, liquidity, volatility, stress, correlation deformation, macro divergence</w:t>
            </w:r>
          </w:p>
        </w:tc>
      </w:tr>
      <w:tr>
        <w:tc>
          <w:tcPr>
            <w:tcW w:type="dxa" w:w="28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Survival Matrix S_ij</w:t>
            </w:r>
          </w:p>
        </w:tc>
        <w:tc>
          <w:tcPr>
            <w:tcW w:type="dxa" w:w="65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Continuous pairwise strategy compatibility scores in [0,1]; measures regime persistence, block coherence, transition survivability</w:t>
            </w:r>
          </w:p>
        </w:tc>
      </w:tr>
      <w:tr>
        <w:tc>
          <w:tcPr>
            <w:tcW w:type="dxa" w:w="28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Local Star / Block Logic</w:t>
            </w:r>
          </w:p>
        </w:tc>
        <w:tc>
          <w:tcPr>
            <w:tcW w:type="dxa" w:w="65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Semantic blocks and admissible regime clusters; avoids forced global equilibrium assumptions</w:t>
            </w:r>
          </w:p>
        </w:tc>
      </w:tr>
      <w:tr>
        <w:tc>
          <w:tcPr>
            <w:tcW w:type="dxa" w:w="28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Zone Classification</w:t>
            </w:r>
          </w:p>
        </w:tc>
        <w:tc>
          <w:tcPr>
            <w:tcW w:type="dxa" w:w="65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Five-mode zone classifier: LOCAL_STAR, TRANSITION, LEAST_BAD, BUFFER, BOUNDARY — uses minimum pairwise W_t as cohesion metric</w:t>
            </w:r>
          </w:p>
        </w:tc>
      </w:tr>
    </w:tbl>
    <w:p>
      <w:pPr>
        <w:spacing w:after="0" w:before="80"/>
      </w:pPr>
      <w:r>
        <w:t xml:space="preserve"/>
      </w:r>
    </w:p>
    <w:p>
      <w:pPr>
        <w:spacing w:after="80" w:before="80"/>
      </w:pPr>
      <w:r>
        <w:rPr>
          <w:rFonts w:ascii="Arial" w:cs="Arial" w:eastAsia="Arial" w:hAnsi="Arial"/>
          <w:color w:val="404040"/>
          <w:sz w:val="22"/>
          <w:szCs w:val="22"/>
        </w:rPr>
        <w:t xml:space="preserve">Governance Core outputs a continuous β-Admissibility score β_t ∈ [0,1]. In Phase-II, this score is reinterpreted: β_t is no longer a risk-on/risk-off switch but a recoverable admissibility signal that feeds into the Dynamic Kelly and MRTP layers.</w:t>
      </w:r>
    </w:p>
    <w:p>
      <w:pPr>
        <w:spacing w:after="0" w:before="140"/>
      </w:pPr>
      <w:r>
        <w:t xml:space="preserve"/>
      </w:r>
    </w:p>
    <w:p>
      <w:pPr>
        <w:pStyle w:val="Heading2"/>
        <w:spacing w:after="120" w:before="300"/>
      </w:pPr>
      <w:r>
        <w:rPr>
          <w:rFonts w:ascii="Arial" w:cs="Arial" w:eastAsia="Arial" w:hAnsi="Arial"/>
          <w:b/>
          <w:bCs/>
          <w:color w:val="2E5FA3"/>
          <w:sz w:val="28"/>
          <w:szCs w:val="28"/>
        </w:rPr>
        <w:t xml:space="preserve">3.2 Convexity Sleeves</w:t>
      </w:r>
    </w:p>
    <w:p>
      <w:pPr>
        <w:spacing w:after="80" w:before="80"/>
      </w:pPr>
      <w:r>
        <w:rPr>
          <w:rFonts w:ascii="Arial" w:cs="Arial" w:eastAsia="Arial" w:hAnsi="Arial"/>
          <w:color w:val="404040"/>
          <w:sz w:val="22"/>
          <w:szCs w:val="22"/>
        </w:rPr>
        <w:t xml:space="preserve">The core architectural innovation of Phase-II. Convexity sleeves replace passive defensiveness with governed convex participation. When the system would previously collapse toward cash, sleeves redirect exposure into instruments that survive a different geometry — maintaining economic participation without compromising governance.</w:t>
      </w:r>
    </w:p>
    <w:p>
      <w:pPr>
        <w:spacing w:after="0" w:before="60"/>
      </w:pPr>
      <w:r>
        <w:t xml:space="preserve"/>
      </w:r>
    </w:p>
    <w:p>
      <w:pPr>
        <w:spacing w:after="80" w:before="80"/>
      </w:pPr>
      <w:r>
        <w:rPr>
          <w:rFonts w:ascii="Arial" w:cs="Arial" w:eastAsia="Arial" w:hAnsi="Arial"/>
          <w:color w:val="404040"/>
          <w:sz w:val="22"/>
          <w:szCs w:val="22"/>
        </w:rPr>
        <w:t xml:space="preserve">Proof of concept: the Bond-trend sleeve admitted in V7.10 demonstrates the principle. Adding a crisis-geometry instrument that decorrelates from the main manifold improved the system materially. Phase-II generalizes this into a typed sleeve architecture.</w:t>
      </w:r>
    </w:p>
    <w:p>
      <w:pPr>
        <w:spacing w:after="0" w:before="100"/>
      </w:pPr>
      <w:r>
        <w:t xml:space="preserve"/>
      </w:r>
    </w:p>
    <w:p>
      <w:pPr>
        <w:pStyle w:val="Heading3"/>
        <w:spacing w:after="80" w:before="200"/>
      </w:pPr>
      <w:r>
        <w:rPr>
          <w:rFonts w:ascii="Arial" w:cs="Arial" w:eastAsia="Arial" w:hAnsi="Arial"/>
          <w:b/>
          <w:bCs/>
          <w:color w:val="4472C4"/>
          <w:sz w:val="24"/>
          <w:szCs w:val="24"/>
        </w:rPr>
        <w:t xml:space="preserve">Sleeve Types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Sleeve Type</w:t>
            </w:r>
          </w:p>
        </w:tc>
        <w:tc>
          <w:tcPr>
            <w:tcW w:type="dxa" w:w="716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Regime Target / Instruments</w:t>
            </w:r>
          </w:p>
        </w:tc>
      </w:tr>
      <w:tr>
        <w:tc>
          <w:tcPr>
            <w:tcW w:type="dxa" w:w="22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A. Crisis Trend</w:t>
            </w:r>
          </w:p>
        </w:tc>
        <w:tc>
          <w:tcPr>
            <w:tcW w:type="dxa" w:w="71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Panic persistence, flight-to-quality, macro dislocation. Instruments: bond trend, USD trend, long volatility trend.</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B. Expansion Convexity</w:t>
            </w:r>
          </w:p>
        </w:tc>
        <w:tc>
          <w:tcPr>
            <w:tcW w:type="dxa" w:w="71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Persistent bull acceleration, corridor widening, stable reflation. Instruments: equity trend acceleration, commodity expansion, persistent growth regime exposure.</w:t>
            </w:r>
          </w:p>
        </w:tc>
      </w:tr>
      <w:tr>
        <w:tc>
          <w:tcPr>
            <w:tcW w:type="dxa" w:w="22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C. Transition Convexity</w:t>
            </w:r>
          </w:p>
        </w:tc>
        <w:tc>
          <w:tcPr>
            <w:tcW w:type="dxa" w:w="71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Emerging regime transitions, early breakout persistence, admissibility migration. Instruments: cross-asset breakout, early momentum with low fragmentation.</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D. Rupture Asymmetry</w:t>
            </w:r>
          </w:p>
        </w:tc>
        <w:tc>
          <w:tcPr>
            <w:tcW w:type="dxa" w:w="71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Non-linear breakdowns, correlation collapse, convex fragmentation. Instruments: tail options structure, long-vol, crisis alpha.</w:t>
            </w:r>
          </w:p>
        </w:tc>
      </w:tr>
    </w:tbl>
    <w:p>
      <w:pPr>
        <w:spacing w:after="0" w:before="100"/>
      </w:pPr>
      <w:r>
        <w:t xml:space="preserve"/>
      </w:r>
    </w:p>
    <w:p>
      <w:pPr>
        <w:pStyle w:val="Heading3"/>
        <w:spacing w:after="80" w:before="200"/>
      </w:pPr>
      <w:r>
        <w:rPr>
          <w:rFonts w:ascii="Arial" w:cs="Arial" w:eastAsia="Arial" w:hAnsi="Arial"/>
          <w:b/>
          <w:bCs/>
          <w:color w:val="4472C4"/>
          <w:sz w:val="24"/>
          <w:szCs w:val="24"/>
        </w:rPr>
        <w:t xml:space="preserve">Sleeve Admission Pipeline</w:t>
      </w:r>
    </w:p>
    <w:p>
      <w:pPr>
        <w:spacing w:after="80" w:before="80"/>
      </w:pPr>
      <w:r>
        <w:rPr>
          <w:rFonts w:ascii="Arial" w:cs="Arial" w:eastAsia="Arial" w:hAnsi="Arial"/>
          <w:color w:val="404040"/>
          <w:sz w:val="22"/>
          <w:szCs w:val="22"/>
        </w:rPr>
        <w:t xml:space="preserve">Every sleeve candidate must pass a formal admission gate before entering the runtime. The current V7.10 registry provides the embryonic version of this gate; Phase-II formalizes it:</w:t>
      </w:r>
    </w:p>
    <w:p>
      <w:pPr>
        <w:spacing w:after="0" w:before="40"/>
      </w:pPr>
      <w:r>
        <w:t xml:space="preserve"/>
      </w:r>
    </w:p>
    <w:p>
      <w:pPr>
        <w:pStyle w:val="ListParagraph"/>
        <w:numPr>
          <w:ilvl w:val="0"/>
          <w:numId w:val="3"/>
        </w:numPr>
        <w:spacing w:after="40" w:before="40"/>
      </w:pPr>
      <w:r>
        <w:rPr>
          <w:rFonts w:ascii="Arial" w:cs="Arial" w:eastAsia="Arial" w:hAnsi="Arial"/>
          <w:color w:val="404040"/>
          <w:sz w:val="22"/>
          <w:szCs w:val="22"/>
        </w:rPr>
        <w:t xml:space="preserve">Validation — signal construction audit, data integrity, look-ahead check</w:t>
      </w:r>
    </w:p>
    <w:p>
      <w:pPr>
        <w:pStyle w:val="ListParagraph"/>
        <w:numPr>
          <w:ilvl w:val="0"/>
          <w:numId w:val="3"/>
        </w:numPr>
        <w:spacing w:after="40" w:before="40"/>
      </w:pPr>
      <w:r>
        <w:rPr>
          <w:rFonts w:ascii="Arial" w:cs="Arial" w:eastAsia="Arial" w:hAnsi="Arial"/>
          <w:color w:val="404040"/>
          <w:sz w:val="22"/>
          <w:szCs w:val="22"/>
        </w:rPr>
        <w:t xml:space="preserve">DSR — Downside Sortino Ratio gate (minimum threshold per sleeve type)</w:t>
      </w:r>
    </w:p>
    <w:p>
      <w:pPr>
        <w:pStyle w:val="ListParagraph"/>
        <w:numPr>
          <w:ilvl w:val="0"/>
          <w:numId w:val="3"/>
        </w:numPr>
        <w:spacing w:after="40" w:before="40"/>
      </w:pPr>
      <w:r>
        <w:rPr>
          <w:rFonts w:ascii="Arial" w:cs="Arial" w:eastAsia="Arial" w:hAnsi="Arial"/>
          <w:color w:val="404040"/>
          <w:sz w:val="22"/>
          <w:szCs w:val="22"/>
        </w:rPr>
        <w:t xml:space="preserve">Correlation Test — maximum correlation to existing admitted sleeves and to SPY</w:t>
      </w:r>
    </w:p>
    <w:p>
      <w:pPr>
        <w:pStyle w:val="ListParagraph"/>
        <w:numPr>
          <w:ilvl w:val="0"/>
          <w:numId w:val="3"/>
        </w:numPr>
        <w:spacing w:after="40" w:before="40"/>
      </w:pPr>
      <w:r>
        <w:rPr>
          <w:rFonts w:ascii="Arial" w:cs="Arial" w:eastAsia="Arial" w:hAnsi="Arial"/>
          <w:color w:val="404040"/>
          <w:sz w:val="22"/>
          <w:szCs w:val="22"/>
        </w:rPr>
        <w:t xml:space="preserve">Walk-forward — out-of-sample performance across at least two distinct regime periods</w:t>
      </w:r>
    </w:p>
    <w:p>
      <w:pPr>
        <w:pStyle w:val="ListParagraph"/>
        <w:numPr>
          <w:ilvl w:val="0"/>
          <w:numId w:val="3"/>
        </w:numPr>
        <w:spacing w:after="40" w:before="40"/>
      </w:pPr>
      <w:r>
        <w:rPr>
          <w:rFonts w:ascii="Arial" w:cs="Arial" w:eastAsia="Arial" w:hAnsi="Arial"/>
          <w:color w:val="404040"/>
          <w:sz w:val="22"/>
          <w:szCs w:val="22"/>
        </w:rPr>
        <w:t xml:space="preserve">Contribution Test — marginal Sharpe improvement to the aggregate system</w:t>
      </w:r>
    </w:p>
    <w:p>
      <w:pPr>
        <w:pStyle w:val="ListParagraph"/>
        <w:numPr>
          <w:ilvl w:val="0"/>
          <w:numId w:val="3"/>
        </w:numPr>
        <w:spacing w:after="40" w:before="40"/>
      </w:pPr>
      <w:r>
        <w:rPr>
          <w:rFonts w:ascii="Arial" w:cs="Arial" w:eastAsia="Arial" w:hAnsi="Arial"/>
          <w:color w:val="404040"/>
          <w:sz w:val="22"/>
          <w:szCs w:val="22"/>
        </w:rPr>
        <w:t xml:space="preserve">Fragility Audit — stress test against 2008, 2020, and 2022 rupture scenarios</w:t>
      </w:r>
    </w:p>
    <w:p>
      <w:pPr>
        <w:spacing w:after="0" w:before="80"/>
      </w:pPr>
      <w:r>
        <w:t xml:space="preserve"/>
      </w:r>
    </w:p>
    <w:p>
      <w:pPr>
        <w:spacing w:after="80" w:before="80"/>
      </w:pPr>
      <w:r>
        <w:rPr>
          <w:rFonts w:ascii="Arial" w:cs="Arial" w:eastAsia="Arial" w:hAnsi="Arial"/>
          <w:color w:val="404040"/>
          <w:sz w:val="22"/>
          <w:szCs w:val="22"/>
        </w:rPr>
        <w:t xml:space="preserve">A sleeve that passes all six gates enters the registry as ADMITTED. A sleeve that fails any single gate is REJECTED with documented reason (see MR-sleeve rejection in V7.10 as reference).</w:t>
      </w:r>
    </w:p>
    <w:p>
      <w:pPr>
        <w:spacing w:after="0" w:before="140"/>
      </w:pPr>
      <w:r>
        <w:t xml:space="preserve"/>
      </w:r>
    </w:p>
    <w:p>
      <w:pPr>
        <w:pStyle w:val="Heading2"/>
        <w:spacing w:after="120" w:before="300"/>
      </w:pPr>
      <w:r>
        <w:rPr>
          <w:rFonts w:ascii="Arial" w:cs="Arial" w:eastAsia="Arial" w:hAnsi="Arial"/>
          <w:b/>
          <w:bCs/>
          <w:color w:val="2E5FA3"/>
          <w:sz w:val="28"/>
          <w:szCs w:val="28"/>
        </w:rPr>
        <w:t xml:space="preserve">3.3 MRTP Steering Layer</w:t>
      </w:r>
    </w:p>
    <w:p>
      <w:pPr>
        <w:spacing w:after="80" w:before="80"/>
      </w:pPr>
      <w:r>
        <w:rPr>
          <w:rFonts w:ascii="Arial" w:cs="Arial" w:eastAsia="Arial" w:hAnsi="Arial"/>
          <w:color w:val="404040"/>
          <w:sz w:val="22"/>
          <w:szCs w:val="22"/>
        </w:rPr>
        <w:t xml:space="preserve">Maximum Recoverable Trajectory Principle. This becomes the strategic steering intelligence of the runtime. Classical systems optimize expected return or minimize variance. MRTP optimizes future recoverability — the ability to re-engage admissible trajectories from the current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D5F0E3" w:val="clear"/>
            <w:tcMar>
              <w:top w:type="dxa" w:w="140"/>
              <w:left w:type="dxa" w:w="220"/>
              <w:bottom w:type="dxa" w:w="140"/>
              <w:right w:type="dxa" w:w="220"/>
            </w:tcMar>
          </w:tcPr>
          <w:p>
            <w:pPr>
              <w:spacing w:after="80" w:before="0"/>
            </w:pPr>
            <w:r>
              <w:rPr>
                <w:rFonts w:ascii="Arial" w:cs="Arial" w:eastAsia="Arial" w:hAnsi="Arial"/>
                <w:b/>
                <w:bCs/>
                <w:color w:val="1E6E42"/>
                <w:sz w:val="22"/>
                <w:szCs w:val="22"/>
              </w:rPr>
              <w:t xml:space="preserve">MRTP Core Insight</w:t>
            </w:r>
          </w:p>
          <w:p>
            <w:r>
              <w:rPr>
                <w:rFonts w:ascii="Arial" w:cs="Arial" w:eastAsia="Arial" w:hAnsi="Arial"/>
                <w:color w:val="404040"/>
                <w:sz w:val="21"/>
                <w:szCs w:val="21"/>
              </w:rPr>
              <w:t xml:space="preserve">The most recoverable path is not always the most defensive path. During stable post-crash reflation with widening corridors and low fragmentation, remaining underinvested is itself a recoverability loss — it forfeits the capital base needed for future re-engagement. MRTP detects when underexposure becomes irrational.</w:t>
            </w:r>
          </w:p>
        </w:tc>
      </w:tr>
    </w:tbl>
    <w:p>
      <w:pPr>
        <w:spacing w:after="0" w:before="100"/>
      </w:pPr>
      <w:r>
        <w:t xml:space="preserve"/>
      </w:r>
    </w:p>
    <w:p>
      <w:pPr>
        <w:pStyle w:val="Heading3"/>
        <w:spacing w:after="80" w:before="200"/>
      </w:pPr>
      <w:r>
        <w:rPr>
          <w:rFonts w:ascii="Arial" w:cs="Arial" w:eastAsia="Arial" w:hAnsi="Arial"/>
          <w:b/>
          <w:bCs/>
          <w:color w:val="4472C4"/>
          <w:sz w:val="24"/>
          <w:szCs w:val="24"/>
        </w:rPr>
        <w:t xml:space="preserve">Runtime Steering Tasks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Task</w:t>
            </w:r>
          </w:p>
        </w:tc>
        <w:tc>
          <w:tcPr>
            <w:tcW w:type="dxa" w:w="696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Function</w:t>
            </w:r>
          </w:p>
        </w:tc>
      </w:tr>
      <w:tr>
        <w:tc>
          <w:tcPr>
            <w:tcW w:type="dxa" w:w="24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A. Corridor Evaluation</w:t>
            </w:r>
          </w:p>
        </w:tc>
        <w:tc>
          <w:tcPr>
            <w:tcW w:type="dxa" w:w="69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Estimate corridor persistence, corridor narrowing or widening, expansion quality, ridge pressure. Determines whether the current regime is stable and admissibly expanding.</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B. Transition Ranking</w:t>
            </w:r>
          </w:p>
        </w:tc>
        <w:tc>
          <w:tcPr>
            <w:tcW w:type="dxa" w:w="69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Rank candidate trajectories by recoverability, future admissibility, and re-entry probability. Selects the dominant path when multiple blocks are partially admissible.</w:t>
            </w:r>
          </w:p>
        </w:tc>
      </w:tr>
      <w:tr>
        <w:tc>
          <w:tcPr>
            <w:tcW w:type="dxa" w:w="24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C. Ridge Navigation</w:t>
            </w:r>
          </w:p>
        </w:tc>
        <w:tc>
          <w:tcPr>
            <w:tcW w:type="dxa" w:w="69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Detect fragmentation buildup, instability accumulation, contradiction pressure. Triggers early contraction before ridge becomes active barrier.</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D. Dynamic Convexity Control</w:t>
            </w:r>
          </w:p>
        </w:tc>
        <w:tc>
          <w:tcPr>
            <w:tcW w:type="dxa" w:w="69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Determine when underexposure becomes irrational (recoverability loss), and when convex participation preserves future maneuverability rather than risking it.</w:t>
            </w:r>
          </w:p>
        </w:tc>
      </w:tr>
    </w:tbl>
    <w:p>
      <w:pPr>
        <w:spacing w:after="0" w:before="100"/>
      </w:pPr>
      <w:r>
        <w:t xml:space="preserve"/>
      </w:r>
    </w:p>
    <w:p>
      <w:pPr>
        <w:pStyle w:val="Heading3"/>
        <w:spacing w:after="80" w:before="200"/>
      </w:pPr>
      <w:r>
        <w:rPr>
          <w:rFonts w:ascii="Arial" w:cs="Arial" w:eastAsia="Arial" w:hAnsi="Arial"/>
          <w:b/>
          <w:bCs/>
          <w:color w:val="4472C4"/>
          <w:sz w:val="24"/>
          <w:szCs w:val="24"/>
        </w:rPr>
        <w:t xml:space="preserve">MRTP Scoring — Candidate Formalization</w:t>
      </w:r>
    </w:p>
    <w:p>
      <w:pPr>
        <w:spacing w:after="80" w:before="80"/>
      </w:pPr>
      <w:r>
        <w:rPr>
          <w:rFonts w:ascii="Arial" w:cs="Arial" w:eastAsia="Arial" w:hAnsi="Arial"/>
          <w:color w:val="404040"/>
          <w:sz w:val="22"/>
          <w:szCs w:val="22"/>
        </w:rPr>
        <w:t xml:space="preserve">A proposed runtime scoring function for engineering teams to formalize and validate: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F2F2F2" w:val="clear"/>
            <w:tcMar>
              <w:top w:type="dxa" w:w="140"/>
              <w:left w:type="dxa" w:w="220"/>
              <w:bottom w:type="dxa" w:w="140"/>
              <w:right w:type="dxa" w:w="220"/>
            </w:tcMar>
          </w:tcPr>
          <w:p>
            <w:pPr>
              <w:spacing w:after="80" w:before="0"/>
            </w:pPr>
            <w:r>
              <w:rPr>
                <w:rFonts w:ascii="Arial" w:cs="Arial" w:eastAsia="Arial" w:hAnsi="Arial"/>
                <w:b/>
                <w:bCs/>
                <w:color w:val="1F3864"/>
                <w:sz w:val="22"/>
                <w:szCs w:val="22"/>
              </w:rPr>
              <w:t xml:space="preserve">MRTP_Score_i = α·R_i + β·C_i − γ·F_i − δ·P_i</w:t>
            </w:r>
          </w:p>
          <w:p>
            <w:pPr>
              <w:spacing w:after="40" w:before="60"/>
            </w:pPr>
            <w:r>
              <w:rPr>
                <w:rFonts w:ascii="Arial" w:cs="Arial" w:eastAsia="Arial" w:hAnsi="Arial"/>
                <w:sz w:val="21"/>
                <w:szCs w:val="21"/>
              </w:rPr>
              <w:t xml:space="preserve">where:</w:t>
            </w:r>
          </w:p>
          <w:p>
            <w:pPr>
              <w:pStyle w:val="ListParagraph"/>
              <w:numPr>
                <w:ilvl w:val="0"/>
                <w:numId w:val="2"/>
              </w:numPr>
              <w:spacing w:after="30" w:before="30"/>
            </w:pPr>
            <w:r>
              <w:rPr>
                <w:rFonts w:ascii="Arial" w:cs="Arial" w:eastAsia="Arial" w:hAnsi="Arial"/>
                <w:sz w:val="21"/>
                <w:szCs w:val="21"/>
              </w:rPr>
              <w:t xml:space="preserve">R_i = Recoverability score (ability to re-engage from trajectory i)</w:t>
            </w:r>
          </w:p>
          <w:p>
            <w:pPr>
              <w:pStyle w:val="ListParagraph"/>
              <w:numPr>
                <w:ilvl w:val="0"/>
                <w:numId w:val="2"/>
              </w:numPr>
              <w:spacing w:after="30" w:before="30"/>
            </w:pPr>
            <w:r>
              <w:rPr>
                <w:rFonts w:ascii="Arial" w:cs="Arial" w:eastAsia="Arial" w:hAnsi="Arial"/>
                <w:sz w:val="21"/>
                <w:szCs w:val="21"/>
              </w:rPr>
              <w:t xml:space="preserve">C_i = Corridor continuity (persistence of admissible path width)</w:t>
            </w:r>
          </w:p>
          <w:p>
            <w:pPr>
              <w:pStyle w:val="ListParagraph"/>
              <w:numPr>
                <w:ilvl w:val="0"/>
                <w:numId w:val="2"/>
              </w:numPr>
              <w:spacing w:after="30" w:before="30"/>
            </w:pPr>
            <w:r>
              <w:rPr>
                <w:rFonts w:ascii="Arial" w:cs="Arial" w:eastAsia="Arial" w:hAnsi="Arial"/>
                <w:sz w:val="21"/>
                <w:szCs w:val="21"/>
              </w:rPr>
              <w:t xml:space="preserve">F_i = Fragmentation measure (block incoherence along trajectory i)</w:t>
            </w:r>
          </w:p>
          <w:p>
            <w:pPr>
              <w:pStyle w:val="ListParagraph"/>
              <w:numPr>
                <w:ilvl w:val="0"/>
                <w:numId w:val="2"/>
              </w:numPr>
              <w:spacing w:after="30" w:before="30"/>
            </w:pPr>
            <w:r>
              <w:rPr>
                <w:rFonts w:ascii="Arial" w:cs="Arial" w:eastAsia="Arial" w:hAnsi="Arial"/>
                <w:sz w:val="21"/>
                <w:szCs w:val="21"/>
              </w:rPr>
              <w:t xml:space="preserve">P_i = Ridge pressure (instability accumulation on trajectory i)</w:t>
            </w:r>
          </w:p>
          <w:p>
            <w:pPr>
              <w:spacing w:after="0" w:before="80"/>
            </w:pPr>
            <w:r>
              <w:rPr>
                <w:rFonts w:ascii="Arial" w:cs="Arial" w:eastAsia="Arial" w:hAnsi="Arial"/>
                <w:color w:val="404040"/>
                <w:sz w:val="21"/>
                <w:szCs w:val="21"/>
              </w:rPr>
              <w:t xml:space="preserve">Coefficients α, β, γ, δ are to be calibrated empirically. This formalization converts MRTP from philosophical doctrine to executable runtime logic.</w:t>
            </w:r>
          </w:p>
        </w:tc>
      </w:tr>
    </w:tbl>
    <w:p>
      <w:pPr>
        <w:spacing w:after="0" w:before="140"/>
      </w:pPr>
      <w:r>
        <w:t xml:space="preserve"/>
      </w:r>
    </w:p>
    <w:p>
      <w:pPr>
        <w:pStyle w:val="Heading2"/>
        <w:spacing w:after="120" w:before="300"/>
      </w:pPr>
      <w:r>
        <w:rPr>
          <w:rFonts w:ascii="Arial" w:cs="Arial" w:eastAsia="Arial" w:hAnsi="Arial"/>
          <w:b/>
          <w:bCs/>
          <w:color w:val="2E5FA3"/>
          <w:sz w:val="28"/>
          <w:szCs w:val="28"/>
        </w:rPr>
        <w:t xml:space="preserve">3.4 Dynamic Kelly Layer</w:t>
      </w:r>
    </w:p>
    <w:p>
      <w:pPr>
        <w:spacing w:after="80" w:before="80"/>
      </w:pPr>
      <w:r>
        <w:rPr>
          <w:rFonts w:ascii="Arial" w:cs="Arial" w:eastAsia="Arial" w:hAnsi="Arial"/>
          <w:color w:val="404040"/>
          <w:sz w:val="22"/>
          <w:szCs w:val="22"/>
        </w:rPr>
        <w:t xml:space="preserve">PolyAgora V7.10 under-harvests stable expansion convexity partly because position sizing does not adapt to recoverability state. The Dynamic Kelly layer replaces fixed or volatility-based sizing with a governed leverage function.</w:t>
      </w:r>
    </w:p>
    <w:p>
      <w:pPr>
        <w:spacing w:after="0" w:before="80"/>
      </w:pPr>
      <w:r>
        <w:t xml:space="preserve"/>
      </w:r>
    </w:p>
    <w:p>
      <w:pPr>
        <w:spacing w:after="80" w:before="80"/>
      </w:pPr>
      <w:r>
        <w:rPr>
          <w:rFonts w:ascii="Arial" w:cs="Arial" w:eastAsia="Arial" w:hAnsi="Arial"/>
          <w:b/>
          <w:bCs/>
          <w:color w:val="404040"/>
          <w:sz w:val="22"/>
          <w:szCs w:val="22"/>
        </w:rPr>
        <w:t xml:space="preserve">Governed Kelly function: </w:t>
      </w:r>
      <w:r>
        <w:rPr>
          <w:rFonts w:ascii="Arial" w:cs="Arial" w:eastAsia="Arial" w:hAnsi="Arial"/>
          <w:color w:val="404040"/>
          <w:sz w:val="22"/>
          <w:szCs w:val="22"/>
        </w:rPr>
        <w:t xml:space="preserve">f_t = f(β_t, R_t, F_t, C_t)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Variable</w:t>
            </w:r>
          </w:p>
        </w:tc>
        <w:tc>
          <w:tcPr>
            <w:tcW w:type="dxa" w:w="756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Meaning and Source</w:t>
            </w:r>
          </w:p>
        </w:tc>
      </w:tr>
      <w:tr>
        <w:tc>
          <w:tcPr>
            <w:tcW w:type="dxa" w:w="18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β_t</w:t>
            </w:r>
          </w:p>
        </w:tc>
        <w:tc>
          <w:tcPr>
            <w:tcW w:type="dxa" w:w="75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Admissibility score from Governance Core — primary throttle</w:t>
            </w:r>
          </w:p>
        </w:tc>
      </w:tr>
      <w:tr>
        <w:tc>
          <w:tcPr>
            <w:tcW w:type="dxa" w:w="18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R_t</w:t>
            </w:r>
          </w:p>
        </w:tc>
        <w:tc>
          <w:tcPr>
            <w:tcW w:type="dxa" w:w="75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Recoverability score from Recoverability Geometry — expansion qualifier</w:t>
            </w:r>
          </w:p>
        </w:tc>
      </w:tr>
      <w:tr>
        <w:tc>
          <w:tcPr>
            <w:tcW w:type="dxa" w:w="18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F_t</w:t>
            </w:r>
          </w:p>
        </w:tc>
        <w:tc>
          <w:tcPr>
            <w:tcW w:type="dxa" w:w="75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Fragmentation measure — contraction trigger</w:t>
            </w:r>
          </w:p>
        </w:tc>
      </w:tr>
      <w:tr>
        <w:tc>
          <w:tcPr>
            <w:tcW w:type="dxa" w:w="18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C_t</w:t>
            </w:r>
          </w:p>
        </w:tc>
        <w:tc>
          <w:tcPr>
            <w:tcW w:type="dxa" w:w="75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Corridor persistence — expansion confidence multiplier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Condition</w:t>
            </w:r>
          </w:p>
        </w:tc>
        <w:tc>
          <w:tcPr>
            <w:tcW w:type="dxa" w:w="576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Kelly Action</w:t>
            </w:r>
          </w:p>
        </w:tc>
      </w:tr>
      <w:tr>
        <w:tc>
          <w:tcPr>
            <w:tcW w:type="dxa" w:w="36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Recoverability high AND Fragmentation low AND Corridor widening AND Admissibility stable</w:t>
            </w:r>
          </w:p>
        </w:tc>
        <w:tc>
          <w:tcPr>
            <w:tcW w:type="dxa" w:w="57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Kelly EXPANSION — increase gross exposure toward maximum admissible</w:t>
            </w:r>
          </w:p>
        </w:tc>
      </w:tr>
      <w:tr>
        <w:tc>
          <w:tcPr>
            <w:tcW w:type="dxa" w:w="36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Ridge instability rising OR Contradiction accumulating OR Transition asymmetry increasing</w:t>
            </w:r>
          </w:p>
        </w:tc>
        <w:tc>
          <w:tcPr>
            <w:tcW w:type="dxa" w:w="57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Kelly CONTRACTION — reduce exposure, widen cash/sleeve buffer</w:t>
            </w:r>
          </w:p>
        </w:tc>
      </w:tr>
      <w:tr>
        <w:tc>
          <w:tcPr>
            <w:tcW w:type="dxa" w:w="36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Rupture / Collapse state (VAIDM-confirmed)</w:t>
            </w:r>
          </w:p>
        </w:tc>
        <w:tc>
          <w:tcPr>
            <w:tcW w:type="dxa" w:w="57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Kelly FLOOR — minimum survivability exposure via crisis sleeves only</w:t>
            </w:r>
          </w:p>
        </w:tc>
      </w:tr>
      <w:tr>
        <w:tc>
          <w:tcPr>
            <w:tcW w:type="dxa" w:w="36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Recovery corridor emerging (post-rupture)</w:t>
            </w:r>
          </w:p>
        </w:tc>
        <w:tc>
          <w:tcPr>
            <w:tcW w:type="dxa" w:w="57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Kelly RE-ENGAGEMENT — accelerated re-entry as recoverability rises</w:t>
            </w:r>
          </w:p>
        </w:tc>
      </w:tr>
    </w:tbl>
    <w:p>
      <w:pPr>
        <w:spacing w:after="0" w:before="80"/>
      </w:pPr>
      <w:r>
        <w:t xml:space="preserve"/>
      </w:r>
    </w:p>
    <w:p>
      <w:pPr>
        <w:spacing w:after="80" w:before="80"/>
      </w:pPr>
      <w:r>
        <w:rPr>
          <w:rFonts w:ascii="Arial" w:cs="Arial" w:eastAsia="Arial" w:hAnsi="Arial"/>
          <w:color w:val="404040"/>
          <w:sz w:val="22"/>
          <w:szCs w:val="22"/>
        </w:rPr>
        <w:t xml:space="preserve">Key distinction from classical Kelly: PolyAgora Kelly does not assume stable probability structure. It operates over changing geometry — changing transition law, changing admissibility structure, changing corridor topology. Anti-whipsaw rules and contraction hysteresis are required to prevent excessive signal sensitivity.</w:t>
      </w:r>
    </w:p>
    <w:p>
      <w:pPr>
        <w:spacing w:after="0" w:before="140"/>
      </w:pPr>
      <w:r>
        <w:t xml:space="preserve"/>
      </w:r>
    </w:p>
    <w:p>
      <w:pPr>
        <w:pStyle w:val="Heading2"/>
        <w:spacing w:after="120" w:before="300"/>
      </w:pPr>
      <w:r>
        <w:rPr>
          <w:rFonts w:ascii="Arial" w:cs="Arial" w:eastAsia="Arial" w:hAnsi="Arial"/>
          <w:b/>
          <w:bCs/>
          <w:color w:val="2E5FA3"/>
          <w:sz w:val="28"/>
          <w:szCs w:val="28"/>
        </w:rPr>
        <w:t xml:space="preserve">3.5 Recoverability Geometry</w:t>
      </w:r>
    </w:p>
    <w:p>
      <w:pPr>
        <w:spacing w:after="80" w:before="80"/>
      </w:pPr>
      <w:r>
        <w:rPr>
          <w:rFonts w:ascii="Arial" w:cs="Arial" w:eastAsia="Arial" w:hAnsi="Arial"/>
          <w:color w:val="404040"/>
          <w:sz w:val="22"/>
          <w:szCs w:val="22"/>
        </w:rPr>
        <w:t xml:space="preserve">The deepest layer and the primary mathematical moat. Recoverability Geometry formalizes the state-space topology of the system: the shape of admissible corridors, the structure of ridge barriers, the fragmentation field, and the re-entry surface.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D5F0E3" w:val="clear"/>
            <w:tcMar>
              <w:top w:type="dxa" w:w="140"/>
              <w:left w:type="dxa" w:w="220"/>
              <w:bottom w:type="dxa" w:w="140"/>
              <w:right w:type="dxa" w:w="220"/>
            </w:tcMar>
          </w:tcPr>
          <w:p>
            <w:pPr>
              <w:spacing w:after="80" w:before="0"/>
            </w:pPr>
            <w:r>
              <w:rPr>
                <w:rFonts w:ascii="Arial" w:cs="Arial" w:eastAsia="Arial" w:hAnsi="Arial"/>
                <w:b/>
                <w:bCs/>
                <w:color w:val="1E6E42"/>
                <w:sz w:val="22"/>
                <w:szCs w:val="22"/>
              </w:rPr>
              <w:t xml:space="preserve">Design Principle</w:t>
            </w:r>
          </w:p>
          <w:p>
            <w:r>
              <w:rPr>
                <w:rFonts w:ascii="Arial" w:cs="Arial" w:eastAsia="Arial" w:hAnsi="Arial"/>
                <w:color w:val="404040"/>
                <w:sz w:val="21"/>
                <w:szCs w:val="21"/>
              </w:rPr>
              <w:t xml:space="preserve">Recoverability R_t becomes a first-class state variable — not derived from volatility, expected return, or covariance alone, but from the structural geometry of the admissible trajectory space. The question is not 'how risky is the current position' but 'how many admissible futures does the current position preserve access to'.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Core Variable</w:t>
            </w:r>
          </w:p>
        </w:tc>
        <w:tc>
          <w:tcPr>
            <w:tcW w:type="dxa" w:w="696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Definition and Measurement</w:t>
            </w:r>
          </w:p>
        </w:tc>
      </w:tr>
      <w:tr>
        <w:tc>
          <w:tcPr>
            <w:tcW w:type="dxa" w:w="24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Corridor Width</w:t>
            </w:r>
          </w:p>
        </w:tc>
        <w:tc>
          <w:tcPr>
            <w:tcW w:type="dxa" w:w="69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Volume of admissible trajectory space available from the current state. Measures expansion flexibility and how much maneuvering room the system has without breaching admissibility.</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Ridge Pressure</w:t>
            </w:r>
          </w:p>
        </w:tc>
        <w:tc>
          <w:tcPr>
            <w:tcW w:type="dxa" w:w="69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Instability accumulation and semantic contradiction density at the boundary of the current corridor. High ridge pressure signals imminent constraint — the corridor is narrowing.</w:t>
            </w:r>
          </w:p>
        </w:tc>
      </w:tr>
      <w:tr>
        <w:tc>
          <w:tcPr>
            <w:tcW w:type="dxa" w:w="24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Fragmentation Field</w:t>
            </w:r>
          </w:p>
        </w:tc>
        <w:tc>
          <w:tcPr>
            <w:tcW w:type="dxa" w:w="69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Block incoherence, regime divergence, structural instability across the strategy universe. A high fragmentation field indicates the survival matrix is deforming under stress.</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Re-entry Probability</w:t>
            </w:r>
          </w:p>
        </w:tc>
        <w:tc>
          <w:tcPr>
            <w:tcW w:type="dxa" w:w="69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Probability of re-engaging an admissible trajectory after contraction. Captures whether a defensive move preserves or destroys future optionality.</w:t>
            </w:r>
          </w:p>
        </w:tc>
      </w:tr>
      <w:tr>
        <w:tc>
          <w:tcPr>
            <w:tcW w:type="dxa" w:w="24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Admissibility Persistence</w:t>
            </w:r>
          </w:p>
        </w:tc>
        <w:tc>
          <w:tcPr>
            <w:tcW w:type="dxa" w:w="69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Duration and stability of the current block's admissibility — whether the current governance state is a stable equilibrium or a transient spike.</w:t>
            </w:r>
          </w:p>
        </w:tc>
      </w:tr>
    </w:tbl>
    <w:p>
      <w:pPr>
        <w:spacing w:after="0" w:before="80"/>
      </w:pPr>
      <w:r>
        <w:t xml:space="preserve"/>
      </w:r>
    </w:p>
    <w:p>
      <w:pPr>
        <w:spacing w:after="80" w:before="80"/>
      </w:pPr>
      <w:r>
        <w:rPr>
          <w:rFonts w:ascii="Arial" w:cs="Arial" w:eastAsia="Arial" w:hAnsi="Arial"/>
          <w:color w:val="404040"/>
          <w:sz w:val="22"/>
          <w:szCs w:val="22"/>
        </w:rPr>
        <w:t xml:space="preserve">These five variables must become computable runtime estimators. The engineering challenge is specifying update rules, memory windows, smoothing functions, and normalization methods that are computationally tractable at weekly runtime cadence.</w:t>
      </w:r>
    </w:p>
    <w:p>
      <w:pPr>
        <w:spacing w:after="0" w:before="200"/>
      </w:pPr>
      <w:r>
        <w:t xml:space="preserve"/>
      </w:r>
    </w:p>
    <w:p>
      <w:pPr>
        <w:spacing w:after="0" w:before="0"/>
      </w:pPr>
      <w:r>
        <w:br w:type="page"/>
      </w:r>
    </w:p>
    <w:p>
      <w:pPr>
        <w:pStyle w:val="Heading1"/>
        <w:pBdr>
          <w:bottom w:val="single" w:color="4472C4" w:sz="8"/>
        </w:pBdr>
        <w:spacing w:after="200" w:before="400"/>
      </w:pPr>
      <w:r>
        <w:rPr>
          <w:rFonts w:ascii="Arial" w:cs="Arial" w:eastAsia="Arial" w:hAnsi="Arial"/>
          <w:b/>
          <w:bCs/>
          <w:color w:val="1F3864"/>
          <w:sz w:val="36"/>
          <w:szCs w:val="36"/>
        </w:rPr>
        <w:t xml:space="preserve">4. Open Engineering Problems</w:t>
      </w:r>
    </w:p>
    <w:p>
      <w:pPr>
        <w:spacing w:after="80" w:before="80"/>
      </w:pPr>
      <w:r>
        <w:rPr>
          <w:rFonts w:ascii="Arial" w:cs="Arial" w:eastAsia="Arial" w:hAnsi="Arial"/>
          <w:color w:val="404040"/>
          <w:sz w:val="22"/>
          <w:szCs w:val="22"/>
        </w:rPr>
        <w:t xml:space="preserve">These four problems are the prioritized engineering frontier for Phase-II. They are ordered by architectural depth — Recoverability Geometry is the deepest and most load-bearing; Dynamic Kelly is the most immediately implementable. The CTO team is requested to propose solutions to all four.</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single" w:color="2E5FA3" w:sz="8"/>
              <w:right w:val="single" w:color="2E5FA3" w:sz="8"/>
            </w:tcBorders>
            <w:shd w:fill="F2F2F2" w:val="clear"/>
            <w:tcMar>
              <w:top w:type="dxa" w:w="160"/>
              <w:left w:type="dxa" w:w="220"/>
              <w:bottom w:type="dxa" w:w="160"/>
              <w:right w:type="dxa" w:w="220"/>
            </w:tcMar>
          </w:tcPr>
          <w:p>
            <w:pPr>
              <w:spacing w:after="100" w:before="0"/>
            </w:pPr>
            <w:r>
              <w:rPr>
                <w:rFonts w:ascii="Arial" w:cs="Arial" w:eastAsia="Arial" w:hAnsi="Arial"/>
                <w:b/>
                <w:bCs/>
                <w:color w:val="2E5FA3"/>
                <w:sz w:val="24"/>
                <w:szCs w:val="24"/>
              </w:rPr>
              <w:t xml:space="preserve">OPEN PROBLEM A  </w:t>
            </w:r>
            <w:r>
              <w:rPr>
                <w:rFonts w:ascii="Arial" w:cs="Arial" w:eastAsia="Arial" w:hAnsi="Arial"/>
                <w:b/>
                <w:bCs/>
                <w:color w:val="1F3864"/>
                <w:sz w:val="24"/>
                <w:szCs w:val="24"/>
              </w:rPr>
              <w:t xml:space="preserve">Recoverability Geometry Formalization</w:t>
            </w:r>
          </w:p>
          <w:p>
            <w:pPr>
              <w:spacing w:after="120" w:before="0"/>
            </w:pPr>
            <w:r>
              <w:rPr>
                <w:rFonts w:ascii="Arial" w:cs="Arial" w:eastAsia="Arial" w:hAnsi="Arial"/>
                <w:color w:val="404040"/>
                <w:sz w:val="21"/>
                <w:szCs w:val="21"/>
              </w:rPr>
              <w:t xml:space="preserve">The Recoverability Geometry layer is currently defined conceptually. It requires formalization as a computable, runtime-updateable set of state variables. This is the primary mathematical moat of PolyAgora and the most underdeveloped layer.</w:t>
            </w:r>
          </w:p>
          <w:p>
            <w:pPr>
              <w:spacing w:after="60" w:before="0"/>
            </w:pPr>
            <w:r>
              <w:rPr>
                <w:rFonts w:ascii="Arial" w:cs="Arial" w:eastAsia="Arial" w:hAnsi="Arial"/>
                <w:b/>
                <w:bCs/>
                <w:color w:val="404040"/>
                <w:sz w:val="21"/>
                <w:szCs w:val="21"/>
              </w:rPr>
              <w:t xml:space="preserve">Engineering Questions:</w:t>
            </w:r>
          </w:p>
          <w:p>
            <w:pPr>
              <w:pStyle w:val="ListParagraph"/>
              <w:numPr>
                <w:ilvl w:val="0"/>
                <w:numId w:val="2"/>
              </w:numPr>
              <w:spacing w:after="30" w:before="30"/>
            </w:pPr>
            <w:r>
              <w:rPr>
                <w:rFonts w:ascii="Arial" w:cs="Arial" w:eastAsia="Arial" w:hAnsi="Arial"/>
                <w:color w:val="404040"/>
                <w:sz w:val="21"/>
                <w:szCs w:val="21"/>
              </w:rPr>
              <w:t xml:space="preserve">How can corridor width be estimated from the Survival Matrix and block geometry at each time step?</w:t>
            </w:r>
          </w:p>
          <w:p>
            <w:pPr>
              <w:pStyle w:val="ListParagraph"/>
              <w:numPr>
                <w:ilvl w:val="0"/>
                <w:numId w:val="2"/>
              </w:numPr>
              <w:spacing w:after="30" w:before="30"/>
            </w:pPr>
            <w:r>
              <w:rPr>
                <w:rFonts w:ascii="Arial" w:cs="Arial" w:eastAsia="Arial" w:hAnsi="Arial"/>
                <w:color w:val="404040"/>
                <w:sz w:val="21"/>
                <w:szCs w:val="21"/>
              </w:rPr>
              <w:t xml:space="preserve">What statistical estimators capture ridge pressure in real time — prior to the ridge becoming an active barrier?</w:t>
            </w:r>
          </w:p>
          <w:p>
            <w:pPr>
              <w:pStyle w:val="ListParagraph"/>
              <w:numPr>
                <w:ilvl w:val="0"/>
                <w:numId w:val="2"/>
              </w:numPr>
              <w:spacing w:after="30" w:before="30"/>
            </w:pPr>
            <w:r>
              <w:rPr>
                <w:rFonts w:ascii="Arial" w:cs="Arial" w:eastAsia="Arial" w:hAnsi="Arial"/>
                <w:color w:val="404040"/>
                <w:sz w:val="21"/>
                <w:szCs w:val="21"/>
              </w:rPr>
              <w:t xml:space="preserve">How should the fragmentation field be computed from block coherence metrics?</w:t>
            </w:r>
          </w:p>
          <w:p>
            <w:pPr>
              <w:pStyle w:val="ListParagraph"/>
              <w:numPr>
                <w:ilvl w:val="0"/>
                <w:numId w:val="2"/>
              </w:numPr>
              <w:spacing w:after="30" w:before="30"/>
            </w:pPr>
            <w:r>
              <w:rPr>
                <w:rFonts w:ascii="Arial" w:cs="Arial" w:eastAsia="Arial" w:hAnsi="Arial"/>
                <w:color w:val="404040"/>
                <w:sz w:val="21"/>
                <w:szCs w:val="21"/>
              </w:rPr>
              <w:t xml:space="preserve">What is the correct memory window and smoothing function for re-entry probability?</w:t>
            </w:r>
          </w:p>
          <w:p>
            <w:pPr>
              <w:pStyle w:val="ListParagraph"/>
              <w:numPr>
                <w:ilvl w:val="0"/>
                <w:numId w:val="2"/>
              </w:numPr>
              <w:spacing w:after="30" w:before="30"/>
            </w:pPr>
            <w:r>
              <w:rPr>
                <w:rFonts w:ascii="Arial" w:cs="Arial" w:eastAsia="Arial" w:hAnsi="Arial"/>
                <w:color w:val="404040"/>
                <w:sz w:val="21"/>
                <w:szCs w:val="21"/>
              </w:rPr>
              <w:t xml:space="preserve">How does recoverability R_t degrade under VAIDM-classified RUPTURE/HIGH_STRESS regimes and recover under BENIGN?</w:t>
            </w:r>
          </w:p>
          <w:p>
            <w:pPr>
              <w:pStyle w:val="ListParagraph"/>
              <w:numPr>
                <w:ilvl w:val="0"/>
                <w:numId w:val="2"/>
              </w:numPr>
              <w:spacing w:after="30" w:before="30"/>
            </w:pPr>
            <w:r>
              <w:rPr>
                <w:rFonts w:ascii="Arial" w:cs="Arial" w:eastAsia="Arial" w:hAnsi="Arial"/>
                <w:color w:val="404040"/>
                <w:sz w:val="21"/>
                <w:szCs w:val="21"/>
              </w:rPr>
              <w:t xml:space="preserve">Can recoverability be expressed as a single scalar or must it remain a vector?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8"/>
              <w:left w:val="single" w:color="1F7A8C" w:sz="8"/>
              <w:bottom w:val="single" w:color="1F7A8C" w:sz="8"/>
              <w:right w:val="single" w:color="1F7A8C" w:sz="8"/>
            </w:tcBorders>
            <w:shd w:fill="F2F2F2" w:val="clear"/>
            <w:tcMar>
              <w:top w:type="dxa" w:w="160"/>
              <w:left w:type="dxa" w:w="220"/>
              <w:bottom w:type="dxa" w:w="160"/>
              <w:right w:type="dxa" w:w="220"/>
            </w:tcMar>
          </w:tcPr>
          <w:p>
            <w:pPr>
              <w:spacing w:after="100" w:before="0"/>
            </w:pPr>
            <w:r>
              <w:rPr>
                <w:rFonts w:ascii="Arial" w:cs="Arial" w:eastAsia="Arial" w:hAnsi="Arial"/>
                <w:b/>
                <w:bCs/>
                <w:color w:val="1F7A8C"/>
                <w:sz w:val="24"/>
                <w:szCs w:val="24"/>
              </w:rPr>
              <w:t xml:space="preserve">OPEN PROBLEM B  </w:t>
            </w:r>
            <w:r>
              <w:rPr>
                <w:rFonts w:ascii="Arial" w:cs="Arial" w:eastAsia="Arial" w:hAnsi="Arial"/>
                <w:b/>
                <w:bCs/>
                <w:color w:val="1F3864"/>
                <w:sz w:val="24"/>
                <w:szCs w:val="24"/>
              </w:rPr>
              <w:t xml:space="preserve">Convexity Under Governance</w:t>
            </w:r>
          </w:p>
          <w:p>
            <w:pPr>
              <w:spacing w:after="120" w:before="0"/>
            </w:pPr>
            <w:r>
              <w:rPr>
                <w:rFonts w:ascii="Arial" w:cs="Arial" w:eastAsia="Arial" w:hAnsi="Arial"/>
                <w:color w:val="404040"/>
                <w:sz w:val="21"/>
                <w:szCs w:val="21"/>
              </w:rPr>
              <w:t xml:space="preserve">The system currently penalizes convex participation even in stable admissible expansion regimes. Phase-II requires a governed mechanism for increasing convex exposure that does not destabilize the survivability architecture. The sleeve framework is the primary vehicle.</w:t>
            </w:r>
          </w:p>
          <w:p>
            <w:pPr>
              <w:spacing w:after="60" w:before="0"/>
            </w:pPr>
            <w:r>
              <w:rPr>
                <w:rFonts w:ascii="Arial" w:cs="Arial" w:eastAsia="Arial" w:hAnsi="Arial"/>
                <w:b/>
                <w:bCs/>
                <w:color w:val="404040"/>
                <w:sz w:val="21"/>
                <w:szCs w:val="21"/>
              </w:rPr>
              <w:t xml:space="preserve">Engineering Questions:</w:t>
            </w:r>
          </w:p>
          <w:p>
            <w:pPr>
              <w:pStyle w:val="ListParagraph"/>
              <w:numPr>
                <w:ilvl w:val="0"/>
                <w:numId w:val="2"/>
              </w:numPr>
              <w:spacing w:after="30" w:before="30"/>
            </w:pPr>
            <w:r>
              <w:rPr>
                <w:rFonts w:ascii="Arial" w:cs="Arial" w:eastAsia="Arial" w:hAnsi="Arial"/>
                <w:color w:val="404040"/>
                <w:sz w:val="21"/>
                <w:szCs w:val="21"/>
              </w:rPr>
              <w:t xml:space="preserve">What is the formal admission pipeline API for sleeve candidates — metrics, thresholds, rejection logic, contribution scoring?</w:t>
            </w:r>
          </w:p>
          <w:p>
            <w:pPr>
              <w:pStyle w:val="ListParagraph"/>
              <w:numPr>
                <w:ilvl w:val="0"/>
                <w:numId w:val="2"/>
              </w:numPr>
              <w:spacing w:after="30" w:before="30"/>
            </w:pPr>
            <w:r>
              <w:rPr>
                <w:rFonts w:ascii="Arial" w:cs="Arial" w:eastAsia="Arial" w:hAnsi="Arial"/>
                <w:color w:val="404040"/>
                <w:sz w:val="21"/>
                <w:szCs w:val="21"/>
              </w:rPr>
              <w:t xml:space="preserve">How does the system distinguish between dangerous expansion (false breakout, unstable corridor) and recoverable persistent expansion (stable admissible acceleration)?</w:t>
            </w:r>
          </w:p>
          <w:p>
            <w:pPr>
              <w:pStyle w:val="ListParagraph"/>
              <w:numPr>
                <w:ilvl w:val="0"/>
                <w:numId w:val="2"/>
              </w:numPr>
              <w:spacing w:after="30" w:before="30"/>
            </w:pPr>
            <w:r>
              <w:rPr>
                <w:rFonts w:ascii="Arial" w:cs="Arial" w:eastAsia="Arial" w:hAnsi="Arial"/>
                <w:color w:val="404040"/>
                <w:sz w:val="21"/>
                <w:szCs w:val="21"/>
              </w:rPr>
              <w:t xml:space="preserve">What is the maximum admissible sleeve allocation as a function of governance state, and how does it vary across sleeve types?</w:t>
            </w:r>
          </w:p>
          <w:p>
            <w:pPr>
              <w:pStyle w:val="ListParagraph"/>
              <w:numPr>
                <w:ilvl w:val="0"/>
                <w:numId w:val="2"/>
              </w:numPr>
              <w:spacing w:after="30" w:before="30"/>
            </w:pPr>
            <w:r>
              <w:rPr>
                <w:rFonts w:ascii="Arial" w:cs="Arial" w:eastAsia="Arial" w:hAnsi="Arial"/>
                <w:color w:val="404040"/>
                <w:sz w:val="21"/>
                <w:szCs w:val="21"/>
              </w:rPr>
              <w:t xml:space="preserve">How should sleeve weights be dynamically adjusted intra-regime as recoverability and corridor width change?</w:t>
            </w:r>
          </w:p>
          <w:p>
            <w:pPr>
              <w:pStyle w:val="ListParagraph"/>
              <w:numPr>
                <w:ilvl w:val="0"/>
                <w:numId w:val="2"/>
              </w:numPr>
              <w:spacing w:after="30" w:before="30"/>
            </w:pPr>
            <w:r>
              <w:rPr>
                <w:rFonts w:ascii="Arial" w:cs="Arial" w:eastAsia="Arial" w:hAnsi="Arial"/>
                <w:color w:val="404040"/>
                <w:sz w:val="21"/>
                <w:szCs w:val="21"/>
              </w:rPr>
              <w:t xml:space="preserve">What is the correct decorrelation constraint between sleeves and between each sleeve and the main manifold?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8"/>
              <w:bottom w:val="single" w:color="D4A017" w:sz="8"/>
              <w:right w:val="single" w:color="D4A017" w:sz="8"/>
            </w:tcBorders>
            <w:shd w:fill="F2F2F2" w:val="clear"/>
            <w:tcMar>
              <w:top w:type="dxa" w:w="160"/>
              <w:left w:type="dxa" w:w="220"/>
              <w:bottom w:type="dxa" w:w="160"/>
              <w:right w:type="dxa" w:w="220"/>
            </w:tcMar>
          </w:tcPr>
          <w:p>
            <w:pPr>
              <w:spacing w:after="100" w:before="0"/>
            </w:pPr>
            <w:r>
              <w:rPr>
                <w:rFonts w:ascii="Arial" w:cs="Arial" w:eastAsia="Arial" w:hAnsi="Arial"/>
                <w:b/>
                <w:bCs/>
                <w:color w:val="D4A017"/>
                <w:sz w:val="24"/>
                <w:szCs w:val="24"/>
              </w:rPr>
              <w:t xml:space="preserve">OPEN PROBLEM C  </w:t>
            </w:r>
            <w:r>
              <w:rPr>
                <w:rFonts w:ascii="Arial" w:cs="Arial" w:eastAsia="Arial" w:hAnsi="Arial"/>
                <w:b/>
                <w:bCs/>
                <w:color w:val="1F3864"/>
                <w:sz w:val="24"/>
                <w:szCs w:val="24"/>
              </w:rPr>
              <w:t xml:space="preserve">MRTP Runtime Formalization</w:t>
            </w:r>
          </w:p>
          <w:p>
            <w:pPr>
              <w:spacing w:after="120" w:before="0"/>
            </w:pPr>
            <w:r>
              <w:rPr>
                <w:rFonts w:ascii="Arial" w:cs="Arial" w:eastAsia="Arial" w:hAnsi="Arial"/>
                <w:color w:val="404040"/>
                <w:sz w:val="21"/>
                <w:szCs w:val="21"/>
              </w:rPr>
              <w:t xml:space="preserve">MRTP is currently articulated as a steering doctrine. It must become executable runtime scoring logic. The candidate formalization MRTP_Score = α·R + β·C − γ·F − δ·P provides the structure; the engineering problem is calibration, update frequency, and integration with the Kelly layer.</w:t>
            </w:r>
          </w:p>
          <w:p>
            <w:pPr>
              <w:spacing w:after="60" w:before="0"/>
            </w:pPr>
            <w:r>
              <w:rPr>
                <w:rFonts w:ascii="Arial" w:cs="Arial" w:eastAsia="Arial" w:hAnsi="Arial"/>
                <w:b/>
                <w:bCs/>
                <w:color w:val="404040"/>
                <w:sz w:val="21"/>
                <w:szCs w:val="21"/>
              </w:rPr>
              <w:t xml:space="preserve">Engineering Questions:</w:t>
            </w:r>
          </w:p>
          <w:p>
            <w:pPr>
              <w:pStyle w:val="ListParagraph"/>
              <w:numPr>
                <w:ilvl w:val="0"/>
                <w:numId w:val="2"/>
              </w:numPr>
              <w:spacing w:after="30" w:before="30"/>
            </w:pPr>
            <w:r>
              <w:rPr>
                <w:rFonts w:ascii="Arial" w:cs="Arial" w:eastAsia="Arial" w:hAnsi="Arial"/>
                <w:color w:val="404040"/>
                <w:sz w:val="21"/>
                <w:szCs w:val="21"/>
              </w:rPr>
              <w:t xml:space="preserve">What are the empirically calibrated values of α, β, γ, δ in the MRTP scoring function?</w:t>
            </w:r>
          </w:p>
          <w:p>
            <w:pPr>
              <w:pStyle w:val="ListParagraph"/>
              <w:numPr>
                <w:ilvl w:val="0"/>
                <w:numId w:val="2"/>
              </w:numPr>
              <w:spacing w:after="30" w:before="30"/>
            </w:pPr>
            <w:r>
              <w:rPr>
                <w:rFonts w:ascii="Arial" w:cs="Arial" w:eastAsia="Arial" w:hAnsi="Arial"/>
                <w:color w:val="404040"/>
                <w:sz w:val="21"/>
                <w:szCs w:val="21"/>
              </w:rPr>
              <w:t xml:space="preserve">At what frequency does MRTP scoring run — daily, weekly, or event-driven?</w:t>
            </w:r>
          </w:p>
          <w:p>
            <w:pPr>
              <w:pStyle w:val="ListParagraph"/>
              <w:numPr>
                <w:ilvl w:val="0"/>
                <w:numId w:val="2"/>
              </w:numPr>
              <w:spacing w:after="30" w:before="30"/>
            </w:pPr>
            <w:r>
              <w:rPr>
                <w:rFonts w:ascii="Arial" w:cs="Arial" w:eastAsia="Arial" w:hAnsi="Arial"/>
                <w:color w:val="404040"/>
                <w:sz w:val="21"/>
                <w:szCs w:val="21"/>
              </w:rPr>
              <w:t xml:space="preserve">How does MRTP interact with the Governance Core: can MRTP override a governance block selection, or only modulate exposure within an admitted block?</w:t>
            </w:r>
          </w:p>
          <w:p>
            <w:pPr>
              <w:pStyle w:val="ListParagraph"/>
              <w:numPr>
                <w:ilvl w:val="0"/>
                <w:numId w:val="2"/>
              </w:numPr>
              <w:spacing w:after="30" w:before="30"/>
            </w:pPr>
            <w:r>
              <w:rPr>
                <w:rFonts w:ascii="Arial" w:cs="Arial" w:eastAsia="Arial" w:hAnsi="Arial"/>
                <w:color w:val="404040"/>
                <w:sz w:val="21"/>
                <w:szCs w:val="21"/>
              </w:rPr>
              <w:t xml:space="preserve">How does MRTP detect the regime transition from 'underexposure is prudent' to 'underexposure is a recoverability loss'?</w:t>
            </w:r>
          </w:p>
          <w:p>
            <w:pPr>
              <w:pStyle w:val="ListParagraph"/>
              <w:numPr>
                <w:ilvl w:val="0"/>
                <w:numId w:val="2"/>
              </w:numPr>
              <w:spacing w:after="30" w:before="30"/>
            </w:pPr>
            <w:r>
              <w:rPr>
                <w:rFonts w:ascii="Arial" w:cs="Arial" w:eastAsia="Arial" w:hAnsi="Arial"/>
                <w:color w:val="404040"/>
                <w:sz w:val="21"/>
                <w:szCs w:val="21"/>
              </w:rPr>
              <w:t xml:space="preserve">What is the integration point between MRTP output and Dynamic Kelly input in the runtime execution graph?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8"/>
              <w:right w:val="single" w:color="C0392B" w:sz="8"/>
            </w:tcBorders>
            <w:shd w:fill="F2F2F2" w:val="clear"/>
            <w:tcMar>
              <w:top w:type="dxa" w:w="160"/>
              <w:left w:type="dxa" w:w="220"/>
              <w:bottom w:type="dxa" w:w="160"/>
              <w:right w:type="dxa" w:w="220"/>
            </w:tcMar>
          </w:tcPr>
          <w:p>
            <w:pPr>
              <w:spacing w:after="100" w:before="0"/>
            </w:pPr>
            <w:r>
              <w:rPr>
                <w:rFonts w:ascii="Arial" w:cs="Arial" w:eastAsia="Arial" w:hAnsi="Arial"/>
                <w:b/>
                <w:bCs/>
                <w:color w:val="C0392B"/>
                <w:sz w:val="24"/>
                <w:szCs w:val="24"/>
              </w:rPr>
              <w:t xml:space="preserve">OPEN PROBLEM D  </w:t>
            </w:r>
            <w:r>
              <w:rPr>
                <w:rFonts w:ascii="Arial" w:cs="Arial" w:eastAsia="Arial" w:hAnsi="Arial"/>
                <w:b/>
                <w:bCs/>
                <w:color w:val="1F3864"/>
                <w:sz w:val="24"/>
                <w:szCs w:val="24"/>
              </w:rPr>
              <w:t xml:space="preserve">Dynamic Kelly Scheduler</w:t>
            </w:r>
          </w:p>
          <w:p>
            <w:pPr>
              <w:spacing w:after="120" w:before="0"/>
            </w:pPr>
            <w:r>
              <w:rPr>
                <w:rFonts w:ascii="Arial" w:cs="Arial" w:eastAsia="Arial" w:hAnsi="Arial"/>
                <w:color w:val="404040"/>
                <w:sz w:val="21"/>
                <w:szCs w:val="21"/>
              </w:rPr>
              <w:t xml:space="preserve">The current system uses admissibility as a binary-style gate for exposure. Phase-II requires a continuous, recoverability-governed leverage function that expands aggressively during stable expansion and contracts with hysteresis during stress — eliminating the over-defensiveness in reflation regimes.</w:t>
            </w:r>
          </w:p>
          <w:p>
            <w:pPr>
              <w:spacing w:after="60" w:before="0"/>
            </w:pPr>
            <w:r>
              <w:rPr>
                <w:rFonts w:ascii="Arial" w:cs="Arial" w:eastAsia="Arial" w:hAnsi="Arial"/>
                <w:b/>
                <w:bCs/>
                <w:color w:val="404040"/>
                <w:sz w:val="21"/>
                <w:szCs w:val="21"/>
              </w:rPr>
              <w:t xml:space="preserve">Engineering Questions:</w:t>
            </w:r>
          </w:p>
          <w:p>
            <w:pPr>
              <w:pStyle w:val="ListParagraph"/>
              <w:numPr>
                <w:ilvl w:val="0"/>
                <w:numId w:val="2"/>
              </w:numPr>
              <w:spacing w:after="30" w:before="30"/>
            </w:pPr>
            <w:r>
              <w:rPr>
                <w:rFonts w:ascii="Arial" w:cs="Arial" w:eastAsia="Arial" w:hAnsi="Arial"/>
                <w:color w:val="404040"/>
                <w:sz w:val="21"/>
                <w:szCs w:val="21"/>
              </w:rPr>
              <w:t xml:space="preserve">What is the exact functional form of f_t = f(β_t, R_t, F_t, C_t) — multiplicative, additive, or neural?</w:t>
            </w:r>
          </w:p>
          <w:p>
            <w:pPr>
              <w:pStyle w:val="ListParagraph"/>
              <w:numPr>
                <w:ilvl w:val="0"/>
                <w:numId w:val="2"/>
              </w:numPr>
              <w:spacing w:after="30" w:before="30"/>
            </w:pPr>
            <w:r>
              <w:rPr>
                <w:rFonts w:ascii="Arial" w:cs="Arial" w:eastAsia="Arial" w:hAnsi="Arial"/>
                <w:color w:val="404040"/>
                <w:sz w:val="21"/>
                <w:szCs w:val="21"/>
              </w:rPr>
              <w:t xml:space="preserve">What contraction hysteresis rules prevent over-reaction to transient ridge pressure spikes?</w:t>
            </w:r>
          </w:p>
          <w:p>
            <w:pPr>
              <w:pStyle w:val="ListParagraph"/>
              <w:numPr>
                <w:ilvl w:val="0"/>
                <w:numId w:val="2"/>
              </w:numPr>
              <w:spacing w:after="30" w:before="30"/>
            </w:pPr>
            <w:r>
              <w:rPr>
                <w:rFonts w:ascii="Arial" w:cs="Arial" w:eastAsia="Arial" w:hAnsi="Arial"/>
                <w:color w:val="404040"/>
                <w:sz w:val="21"/>
                <w:szCs w:val="21"/>
              </w:rPr>
              <w:t xml:space="preserve">What anti-whipsaw logic governs the transition between Kelly expansion and Kelly contraction regimes?</w:t>
            </w:r>
          </w:p>
          <w:p>
            <w:pPr>
              <w:pStyle w:val="ListParagraph"/>
              <w:numPr>
                <w:ilvl w:val="0"/>
                <w:numId w:val="2"/>
              </w:numPr>
              <w:spacing w:after="30" w:before="30"/>
            </w:pPr>
            <w:r>
              <w:rPr>
                <w:rFonts w:ascii="Arial" w:cs="Arial" w:eastAsia="Arial" w:hAnsi="Arial"/>
                <w:color w:val="404040"/>
                <w:sz w:val="21"/>
                <w:szCs w:val="21"/>
              </w:rPr>
              <w:t xml:space="preserve">What is the leverage cap under maximum admissible expansion — 1.0×, 1.25×, or uncapped within risk limits?</w:t>
            </w:r>
          </w:p>
          <w:p>
            <w:pPr>
              <w:pStyle w:val="ListParagraph"/>
              <w:numPr>
                <w:ilvl w:val="0"/>
                <w:numId w:val="2"/>
              </w:numPr>
              <w:spacing w:after="30" w:before="30"/>
            </w:pPr>
            <w:r>
              <w:rPr>
                <w:rFonts w:ascii="Arial" w:cs="Arial" w:eastAsia="Arial" w:hAnsi="Arial"/>
                <w:color w:val="404040"/>
                <w:sz w:val="21"/>
                <w:szCs w:val="21"/>
              </w:rPr>
              <w:t xml:space="preserve">How does Dynamic Kelly interact with the cash floor — should a minimum floor survive even under maximum Kelly expansion?</w:t>
            </w:r>
          </w:p>
        </w:tc>
      </w:tr>
    </w:tbl>
    <w:p>
      <w:pPr>
        <w:spacing w:after="0" w:before="200"/>
      </w:pPr>
      <w:r>
        <w:t xml:space="preserve"/>
      </w:r>
    </w:p>
    <w:p>
      <w:pPr>
        <w:spacing w:after="0" w:before="0"/>
      </w:pPr>
      <w:r>
        <w:br w:type="page"/>
      </w:r>
    </w:p>
    <w:p>
      <w:pPr>
        <w:pStyle w:val="Heading1"/>
        <w:pBdr>
          <w:bottom w:val="single" w:color="4472C4" w:sz="8"/>
        </w:pBdr>
        <w:spacing w:after="200" w:before="400"/>
      </w:pPr>
      <w:r>
        <w:rPr>
          <w:rFonts w:ascii="Arial" w:cs="Arial" w:eastAsia="Arial" w:hAnsi="Arial"/>
          <w:b/>
          <w:bCs/>
          <w:color w:val="1F3864"/>
          <w:sz w:val="36"/>
          <w:szCs w:val="36"/>
        </w:rPr>
        <w:t xml:space="preserve">5. Runtime Execution Graph</w:t>
      </w:r>
    </w:p>
    <w:p>
      <w:pPr>
        <w:spacing w:after="80" w:before="80"/>
      </w:pPr>
      <w:r>
        <w:rPr>
          <w:rFonts w:ascii="Arial" w:cs="Arial" w:eastAsia="Arial" w:hAnsi="Arial"/>
          <w:color w:val="404040"/>
          <w:sz w:val="22"/>
          <w:szCs w:val="22"/>
        </w:rPr>
        <w:t xml:space="preserve">The following ordering defines the runtime execution sequence. Order is mandatory — each layer's output is a required input to the next. This sequence must be implemented and validated before any layer can be modified independently.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Execution Step</w:t>
            </w:r>
          </w:p>
        </w:tc>
        <w:tc>
          <w:tcPr>
            <w:tcW w:type="dxa" w:w="792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Layer / Function and Output</w:t>
            </w:r>
          </w:p>
        </w:tc>
      </w:tr>
      <w:tr>
        <w:tc>
          <w:tcPr>
            <w:tcW w:type="dxa" w:w="144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1: Market Data Ingestion</w:t>
            </w:r>
          </w:p>
        </w:tc>
        <w:tc>
          <w:tcPr>
            <w:tcW w:type="dxa" w:w="792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Load weekly market data; normalize signals; compute returns and factor proxies for reference polygon dimensions</w:t>
            </w:r>
          </w:p>
        </w:tc>
      </w:tr>
      <w:tr>
        <w:tc>
          <w:tcPr>
            <w:tcW w:type="dxa" w:w="144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2: Polygon Projection</w:t>
            </w:r>
          </w:p>
        </w:tc>
        <w:tc>
          <w:tcPr>
            <w:tcW w:type="dxa" w:w="792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Project current market state onto the reference polygon; compute regime coordinates V, T, G, C, R</w:t>
            </w:r>
          </w:p>
        </w:tc>
      </w:tr>
      <w:tr>
        <w:tc>
          <w:tcPr>
            <w:tcW w:type="dxa" w:w="144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3: VAIDM Classification</w:t>
            </w:r>
          </w:p>
        </w:tc>
        <w:tc>
          <w:tcPr>
            <w:tcW w:type="dxa" w:w="792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Load VAIDM report; validate six-axis vector; classify RUPTURE / HIGH_STRESS / ELEVATED / BENIGN; compute intensity multiplier</w:t>
            </w:r>
          </w:p>
        </w:tc>
      </w:tr>
      <w:tr>
        <w:tc>
          <w:tcPr>
            <w:tcW w:type="dxa" w:w="144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4: Survival Matrix Update</w:t>
            </w:r>
          </w:p>
        </w:tc>
        <w:tc>
          <w:tcPr>
            <w:tcW w:type="dxa" w:w="792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Update continuous S_ij co-survival scores from realized returns; refresh pairwise strategy compatibility</w:t>
            </w:r>
          </w:p>
        </w:tc>
      </w:tr>
      <w:tr>
        <w:tc>
          <w:tcPr>
            <w:tcW w:type="dxa" w:w="144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5: Admissibility Derivation</w:t>
            </w:r>
          </w:p>
        </w:tc>
        <w:tc>
          <w:tcPr>
            <w:tcW w:type="dxa" w:w="792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Derive 13×5 admissibility matrix from updated survival matrix via derive_admissibility_from_survival()</w:t>
            </w:r>
          </w:p>
        </w:tc>
      </w:tr>
      <w:tr>
        <w:tc>
          <w:tcPr>
            <w:tcW w:type="dxa" w:w="144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6: Block / Zone Classification</w:t>
            </w:r>
          </w:p>
        </w:tc>
        <w:tc>
          <w:tcPr>
            <w:tcW w:type="dxa" w:w="792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Run zone classifier; compute minimum pairwise W_t per cluster; assign LOCAL_STAR / TRANSITION / LEAST_BAD / BUFFER / BOUNDARY mode</w:t>
            </w:r>
          </w:p>
        </w:tc>
      </w:tr>
      <w:tr>
        <w:tc>
          <w:tcPr>
            <w:tcW w:type="dxa" w:w="144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7: Recoverability Geometry Update</w:t>
            </w:r>
          </w:p>
        </w:tc>
        <w:tc>
          <w:tcPr>
            <w:tcW w:type="dxa" w:w="792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Compute corridor width, ridge pressure, fragmentation field, re-entry probability from current block geometry and history</w:t>
            </w:r>
          </w:p>
        </w:tc>
      </w:tr>
      <w:tr>
        <w:tc>
          <w:tcPr>
            <w:tcW w:type="dxa" w:w="144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8: ADD Filtering</w:t>
            </w:r>
          </w:p>
        </w:tc>
        <w:tc>
          <w:tcPr>
            <w:tcW w:type="dxa" w:w="792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Apply per-strategy Adaptive Decay Detector; redistribute weight among survivors within admitted block</w:t>
            </w:r>
          </w:p>
        </w:tc>
      </w:tr>
      <w:tr>
        <w:tc>
          <w:tcPr>
            <w:tcW w:type="dxa" w:w="144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9: MRTP Scoring</w:t>
            </w:r>
          </w:p>
        </w:tc>
        <w:tc>
          <w:tcPr>
            <w:tcW w:type="dxa" w:w="792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Score candidate trajectories using MRTP_Score; determine whether expansion or contraction preserves greater recoverability</w:t>
            </w:r>
          </w:p>
        </w:tc>
      </w:tr>
      <w:tr>
        <w:tc>
          <w:tcPr>
            <w:tcW w:type="dxa" w:w="144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10: Dynamic Kelly Sizing</w:t>
            </w:r>
          </w:p>
        </w:tc>
        <w:tc>
          <w:tcPr>
            <w:tcW w:type="dxa" w:w="792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Compute f_t from (β_t, R_t, F_t, C_t); apply contraction hysteresis and anti-whipsaw rules</w:t>
            </w:r>
          </w:p>
        </w:tc>
      </w:tr>
      <w:tr>
        <w:tc>
          <w:tcPr>
            <w:tcW w:type="dxa" w:w="144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11: Sleeve Allocation</w:t>
            </w:r>
          </w:p>
        </w:tc>
        <w:tc>
          <w:tcPr>
            <w:tcW w:type="dxa" w:w="792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Determine sleeve type activations from governance state and MRTP output; apply sleeve weights within admission constraints</w:t>
            </w:r>
          </w:p>
        </w:tc>
      </w:tr>
      <w:tr>
        <w:tc>
          <w:tcPr>
            <w:tcW w:type="dxa" w:w="144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12: Contraction Map</w:t>
            </w:r>
          </w:p>
        </w:tc>
        <w:tc>
          <w:tcPr>
            <w:tcW w:type="dxa" w:w="792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Apply Banach contraction map for block transitions (TAU_BUFFER=0.60, LAMBDA=0.40); blend from prior allocation</w:t>
            </w:r>
          </w:p>
        </w:tc>
      </w:tr>
      <w:tr>
        <w:tc>
          <w:tcPr>
            <w:tcW w:type="dxa" w:w="144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Step 13: Execution Output</w:t>
            </w:r>
          </w:p>
        </w:tc>
        <w:tc>
          <w:tcPr>
            <w:tcW w:type="dxa" w:w="792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Produce final allocation vector; validate against constraints; log governance state, VAIDM reading, recoverability metrics</w:t>
            </w:r>
          </w:p>
        </w:tc>
      </w:tr>
    </w:tbl>
    <w:p>
      <w:pPr>
        <w:spacing w:after="0" w:before="200"/>
      </w:pPr>
      <w:r>
        <w:t xml:space="preserve"/>
      </w:r>
    </w:p>
    <w:p>
      <w:pPr>
        <w:spacing w:after="0" w:before="0"/>
      </w:pPr>
      <w:r>
        <w:br w:type="page"/>
      </w:r>
    </w:p>
    <w:p>
      <w:pPr>
        <w:pStyle w:val="Heading1"/>
        <w:pBdr>
          <w:bottom w:val="single" w:color="4472C4" w:sz="8"/>
        </w:pBdr>
        <w:spacing w:after="200" w:before="400"/>
      </w:pPr>
      <w:r>
        <w:rPr>
          <w:rFonts w:ascii="Arial" w:cs="Arial" w:eastAsia="Arial" w:hAnsi="Arial"/>
          <w:b/>
          <w:bCs/>
          <w:color w:val="1F3864"/>
          <w:sz w:val="36"/>
          <w:szCs w:val="36"/>
        </w:rPr>
        <w:t xml:space="preserve">6. Deliverables Requested from CTO Team</w:t>
      </w:r>
    </w:p>
    <w:p>
      <w:pPr>
        <w:spacing w:after="80" w:before="80"/>
      </w:pPr>
      <w:r>
        <w:rPr>
          <w:rFonts w:ascii="Arial" w:cs="Arial" w:eastAsia="Arial" w:hAnsi="Arial"/>
          <w:color w:val="404040"/>
          <w:sz w:val="22"/>
          <w:szCs w:val="22"/>
        </w:rPr>
        <w:t xml:space="preserve">The following three deliverables are requested as the CTO team's initial response to this specification. These define the boundary between strategic alignment (this document) and engineering implementation (Phase-II work).</w:t>
      </w:r>
    </w:p>
    <w:p>
      <w:pPr>
        <w:spacing w:after="0" w:before="100"/>
      </w:pPr>
      <w:r>
        <w:t xml:space="preserve"/>
      </w:r>
    </w:p>
    <w:p>
      <w:pPr>
        <w:pStyle w:val="Heading2"/>
        <w:spacing w:after="120" w:before="300"/>
      </w:pPr>
      <w:r>
        <w:rPr>
          <w:rFonts w:ascii="Arial" w:cs="Arial" w:eastAsia="Arial" w:hAnsi="Arial"/>
          <w:b/>
          <w:bCs/>
          <w:color w:val="2E5FA3"/>
          <w:sz w:val="28"/>
          <w:szCs w:val="28"/>
        </w:rPr>
        <w:t xml:space="preserve">Deliverable A — Runtime State Diagram</w:t>
      </w:r>
    </w:p>
    <w:p>
      <w:pPr>
        <w:spacing w:after="80" w:before="80"/>
      </w:pPr>
      <w:r>
        <w:rPr>
          <w:rFonts w:ascii="Arial" w:cs="Arial" w:eastAsia="Arial" w:hAnsi="Arial"/>
          <w:color w:val="404040"/>
          <w:sz w:val="22"/>
          <w:szCs w:val="22"/>
        </w:rPr>
        <w:t xml:space="preserve">A formal diagram specifying:</w:t>
      </w:r>
    </w:p>
    <w:p>
      <w:pPr>
        <w:pStyle w:val="ListParagraph"/>
        <w:numPr>
          <w:ilvl w:val="0"/>
          <w:numId w:val="2"/>
        </w:numPr>
        <w:spacing w:after="40" w:before="40"/>
      </w:pPr>
      <w:r>
        <w:rPr>
          <w:rFonts w:ascii="Arial" w:cs="Arial" w:eastAsia="Arial" w:hAnsi="Arial"/>
          <w:color w:val="404040"/>
          <w:sz w:val="22"/>
          <w:szCs w:val="22"/>
        </w:rPr>
        <w:t xml:space="preserve">Execution flow across all 13 steps with data dependencies and conditional branches</w:t>
      </w:r>
    </w:p>
    <w:p>
      <w:pPr>
        <w:pStyle w:val="ListParagraph"/>
        <w:numPr>
          <w:ilvl w:val="0"/>
          <w:numId w:val="2"/>
        </w:numPr>
        <w:spacing w:after="40" w:before="40"/>
      </w:pPr>
      <w:r>
        <w:rPr>
          <w:rFonts w:ascii="Arial" w:cs="Arial" w:eastAsia="Arial" w:hAnsi="Arial"/>
          <w:color w:val="404040"/>
          <w:sz w:val="22"/>
          <w:szCs w:val="22"/>
        </w:rPr>
        <w:t xml:space="preserve">Update ordering and cadence per layer (weekly vs. event-driven vs. tick-level)</w:t>
      </w:r>
    </w:p>
    <w:p>
      <w:pPr>
        <w:pStyle w:val="ListParagraph"/>
        <w:numPr>
          <w:ilvl w:val="0"/>
          <w:numId w:val="2"/>
        </w:numPr>
        <w:spacing w:after="40" w:before="40"/>
      </w:pPr>
      <w:r>
        <w:rPr>
          <w:rFonts w:ascii="Arial" w:cs="Arial" w:eastAsia="Arial" w:hAnsi="Arial"/>
          <w:color w:val="404040"/>
          <w:sz w:val="22"/>
          <w:szCs w:val="22"/>
        </w:rPr>
        <w:t xml:space="preserve">State schema: exact definitions of all runtime variables (X_t, R_t, β_t, F_t, C_t, Π_t, sleeve weights), including dimensions, update frequency, normalization method, persistence window, and smoothing</w:t>
      </w:r>
    </w:p>
    <w:p>
      <w:pPr>
        <w:pStyle w:val="ListParagraph"/>
        <w:numPr>
          <w:ilvl w:val="0"/>
          <w:numId w:val="2"/>
        </w:numPr>
        <w:spacing w:after="40" w:before="40"/>
      </w:pPr>
      <w:r>
        <w:rPr>
          <w:rFonts w:ascii="Arial" w:cs="Arial" w:eastAsia="Arial" w:hAnsi="Arial"/>
          <w:color w:val="404040"/>
          <w:sz w:val="22"/>
          <w:szCs w:val="22"/>
        </w:rPr>
        <w:t xml:space="preserve">Storage contracts: which variables are persisted across time steps, which are recomputed fresh</w:t>
      </w:r>
    </w:p>
    <w:p>
      <w:pPr>
        <w:spacing w:after="0" w:before="40"/>
      </w:pPr>
      <w:r>
        <w:t xml:space="preserve"/>
      </w:r>
    </w:p>
    <w:p>
      <w:pPr>
        <w:spacing w:after="80" w:before="80"/>
      </w:pPr>
      <w:r>
        <w:rPr>
          <w:rFonts w:ascii="Arial" w:cs="Arial" w:eastAsia="Arial" w:hAnsi="Arial"/>
          <w:color w:val="404040"/>
          <w:sz w:val="22"/>
          <w:szCs w:val="22"/>
        </w:rPr>
        <w:t xml:space="preserve">This deliverable is the single-source-of-truth for implementation sequencing. It must be agreed before any module is built.</w:t>
      </w:r>
    </w:p>
    <w:p>
      <w:pPr>
        <w:spacing w:after="0" w:before="100"/>
      </w:pPr>
      <w:r>
        <w:t xml:space="preserve"/>
      </w:r>
    </w:p>
    <w:p>
      <w:pPr>
        <w:pStyle w:val="Heading2"/>
        <w:spacing w:after="120" w:before="300"/>
      </w:pPr>
      <w:r>
        <w:rPr>
          <w:rFonts w:ascii="Arial" w:cs="Arial" w:eastAsia="Arial" w:hAnsi="Arial"/>
          <w:b/>
          <w:bCs/>
          <w:color w:val="2E5FA3"/>
          <w:sz w:val="28"/>
          <w:szCs w:val="28"/>
        </w:rPr>
        <w:t xml:space="preserve">Deliverable B — Recoverability Geometry Formalization Proposal</w:t>
      </w:r>
    </w:p>
    <w:p>
      <w:pPr>
        <w:spacing w:after="80" w:before="80"/>
      </w:pPr>
      <w:r>
        <w:rPr>
          <w:rFonts w:ascii="Arial" w:cs="Arial" w:eastAsia="Arial" w:hAnsi="Arial"/>
          <w:color w:val="404040"/>
          <w:sz w:val="22"/>
          <w:szCs w:val="22"/>
        </w:rPr>
        <w:t xml:space="preserve">A mathematical proposal specifying:</w:t>
      </w:r>
    </w:p>
    <w:p>
      <w:pPr>
        <w:pStyle w:val="ListParagraph"/>
        <w:numPr>
          <w:ilvl w:val="0"/>
          <w:numId w:val="2"/>
        </w:numPr>
        <w:spacing w:after="40" w:before="40"/>
      </w:pPr>
      <w:r>
        <w:rPr>
          <w:rFonts w:ascii="Arial" w:cs="Arial" w:eastAsia="Arial" w:hAnsi="Arial"/>
          <w:color w:val="404040"/>
          <w:sz w:val="22"/>
          <w:szCs w:val="22"/>
        </w:rPr>
        <w:t xml:space="preserve">Candidate estimators for corridor width, ridge pressure, fragmentation field, re-entry probability, and admissibility persistence</w:t>
      </w:r>
    </w:p>
    <w:p>
      <w:pPr>
        <w:pStyle w:val="ListParagraph"/>
        <w:numPr>
          <w:ilvl w:val="0"/>
          <w:numId w:val="2"/>
        </w:numPr>
        <w:spacing w:after="40" w:before="40"/>
      </w:pPr>
      <w:r>
        <w:rPr>
          <w:rFonts w:ascii="Arial" w:cs="Arial" w:eastAsia="Arial" w:hAnsi="Arial"/>
          <w:color w:val="404040"/>
          <w:sz w:val="22"/>
          <w:szCs w:val="22"/>
        </w:rPr>
        <w:t xml:space="preserve">Computational approximations that are tractable at weekly cadence over the 13-strategy universe</w:t>
      </w:r>
    </w:p>
    <w:p>
      <w:pPr>
        <w:pStyle w:val="ListParagraph"/>
        <w:numPr>
          <w:ilvl w:val="0"/>
          <w:numId w:val="2"/>
        </w:numPr>
        <w:spacing w:after="40" w:before="40"/>
      </w:pPr>
      <w:r>
        <w:rPr>
          <w:rFonts w:ascii="Arial" w:cs="Arial" w:eastAsia="Arial" w:hAnsi="Arial"/>
          <w:color w:val="404040"/>
          <w:sz w:val="22"/>
          <w:szCs w:val="22"/>
        </w:rPr>
        <w:t xml:space="preserve">Proposed normalization and smoothing functions</w:t>
      </w:r>
    </w:p>
    <w:p>
      <w:pPr>
        <w:pStyle w:val="ListParagraph"/>
        <w:numPr>
          <w:ilvl w:val="0"/>
          <w:numId w:val="2"/>
        </w:numPr>
        <w:spacing w:after="40" w:before="40"/>
      </w:pPr>
      <w:r>
        <w:rPr>
          <w:rFonts w:ascii="Arial" w:cs="Arial" w:eastAsia="Arial" w:hAnsi="Arial"/>
          <w:color w:val="404040"/>
          <w:sz w:val="22"/>
          <w:szCs w:val="22"/>
        </w:rPr>
        <w:t xml:space="preserve">Backtested estimates of recoverability R_t across the 2008–2026 window, with annotation of known rupture and expansion episodes</w:t>
      </w:r>
    </w:p>
    <w:p>
      <w:pPr>
        <w:spacing w:after="0" w:before="40"/>
      </w:pPr>
      <w:r>
        <w:t xml:space="preserve"/>
      </w:r>
    </w:p>
    <w:p>
      <w:pPr>
        <w:spacing w:after="80" w:before="80"/>
      </w:pPr>
      <w:r>
        <w:rPr>
          <w:rFonts w:ascii="Arial" w:cs="Arial" w:eastAsia="Arial" w:hAnsi="Arial"/>
          <w:color w:val="404040"/>
          <w:sz w:val="22"/>
          <w:szCs w:val="22"/>
        </w:rPr>
        <w:t xml:space="preserve">This is the most technically demanding deliverable and represents the primary mathematical moat of Phase-II. The CTO team should treat it as a research problem with a six-to-eight week horizon.</w:t>
      </w:r>
    </w:p>
    <w:p>
      <w:pPr>
        <w:spacing w:after="0" w:before="100"/>
      </w:pPr>
      <w:r>
        <w:t xml:space="preserve"/>
      </w:r>
    </w:p>
    <w:p>
      <w:pPr>
        <w:pStyle w:val="Heading2"/>
        <w:spacing w:after="120" w:before="300"/>
      </w:pPr>
      <w:r>
        <w:rPr>
          <w:rFonts w:ascii="Arial" w:cs="Arial" w:eastAsia="Arial" w:hAnsi="Arial"/>
          <w:b/>
          <w:bCs/>
          <w:color w:val="2E5FA3"/>
          <w:sz w:val="28"/>
          <w:szCs w:val="28"/>
        </w:rPr>
        <w:t xml:space="preserve">Deliverable C — Convexity Participation Architecture Proposal</w:t>
      </w:r>
    </w:p>
    <w:p>
      <w:pPr>
        <w:spacing w:after="80" w:before="80"/>
      </w:pPr>
      <w:r>
        <w:rPr>
          <w:rFonts w:ascii="Arial" w:cs="Arial" w:eastAsia="Arial" w:hAnsi="Arial"/>
          <w:color w:val="404040"/>
          <w:sz w:val="22"/>
          <w:szCs w:val="22"/>
        </w:rPr>
        <w:t xml:space="preserve">A proposal specifying:</w:t>
      </w:r>
    </w:p>
    <w:p>
      <w:pPr>
        <w:pStyle w:val="ListParagraph"/>
        <w:numPr>
          <w:ilvl w:val="0"/>
          <w:numId w:val="2"/>
        </w:numPr>
        <w:spacing w:after="40" w:before="40"/>
      </w:pPr>
      <w:r>
        <w:rPr>
          <w:rFonts w:ascii="Arial" w:cs="Arial" w:eastAsia="Arial" w:hAnsi="Arial"/>
          <w:color w:val="404040"/>
          <w:sz w:val="22"/>
          <w:szCs w:val="22"/>
        </w:rPr>
        <w:t xml:space="preserve">The formal sleeve admission pipeline API: input schema, gate metrics, thresholds, rejection logic, contribution scoring formula</w:t>
      </w:r>
    </w:p>
    <w:p>
      <w:pPr>
        <w:pStyle w:val="ListParagraph"/>
        <w:numPr>
          <w:ilvl w:val="0"/>
          <w:numId w:val="2"/>
        </w:numPr>
        <w:spacing w:after="40" w:before="40"/>
      </w:pPr>
      <w:r>
        <w:rPr>
          <w:rFonts w:ascii="Arial" w:cs="Arial" w:eastAsia="Arial" w:hAnsi="Arial"/>
          <w:color w:val="404040"/>
          <w:sz w:val="22"/>
          <w:szCs w:val="22"/>
        </w:rPr>
        <w:t xml:space="preserve">Proposed sleeve types for initial registry expansion — minimum two additional sleeve candidates beyond Bond-trend</w:t>
      </w:r>
    </w:p>
    <w:p>
      <w:pPr>
        <w:pStyle w:val="ListParagraph"/>
        <w:numPr>
          <w:ilvl w:val="0"/>
          <w:numId w:val="2"/>
        </w:numPr>
        <w:spacing w:after="40" w:before="40"/>
      </w:pPr>
      <w:r>
        <w:rPr>
          <w:rFonts w:ascii="Arial" w:cs="Arial" w:eastAsia="Arial" w:hAnsi="Arial"/>
          <w:color w:val="404040"/>
          <w:sz w:val="22"/>
          <w:szCs w:val="22"/>
        </w:rPr>
        <w:t xml:space="preserve">Mechanism for dynamic sleeve weight adjustment as governance state changes</w:t>
      </w:r>
    </w:p>
    <w:p>
      <w:pPr>
        <w:pStyle w:val="ListParagraph"/>
        <w:numPr>
          <w:ilvl w:val="0"/>
          <w:numId w:val="2"/>
        </w:numPr>
        <w:spacing w:after="40" w:before="40"/>
      </w:pPr>
      <w:r>
        <w:rPr>
          <w:rFonts w:ascii="Arial" w:cs="Arial" w:eastAsia="Arial" w:hAnsi="Arial"/>
          <w:color w:val="404040"/>
          <w:sz w:val="22"/>
          <w:szCs w:val="22"/>
        </w:rPr>
        <w:t xml:space="preserve">Quantified estimate of expected Sharpe improvement from each admitted sleeve, with stress-test results against rupture scenarios</w:t>
      </w:r>
    </w:p>
    <w:p>
      <w:pPr>
        <w:pStyle w:val="ListParagraph"/>
        <w:numPr>
          <w:ilvl w:val="0"/>
          <w:numId w:val="2"/>
        </w:numPr>
        <w:spacing w:after="40" w:before="40"/>
      </w:pPr>
      <w:r>
        <w:rPr>
          <w:rFonts w:ascii="Arial" w:cs="Arial" w:eastAsia="Arial" w:hAnsi="Arial"/>
          <w:color w:val="404040"/>
          <w:sz w:val="22"/>
          <w:szCs w:val="22"/>
        </w:rPr>
        <w:t xml:space="preserve">The decorrelation constraint matrix: maximum allowed correlations between sleeves and between sleeves and the main manifold</w:t>
      </w:r>
    </w:p>
    <w:p>
      <w:pPr>
        <w:spacing w:after="0" w:before="200"/>
      </w:pPr>
      <w:r>
        <w:t xml:space="preserve"/>
      </w:r>
    </w:p>
    <w:p>
      <w:pPr>
        <w:spacing w:after="0" w:before="0"/>
      </w:pPr>
      <w:r>
        <w:br w:type="page"/>
      </w:r>
    </w:p>
    <w:p>
      <w:pPr>
        <w:pStyle w:val="Heading1"/>
        <w:pBdr>
          <w:bottom w:val="single" w:color="4472C4" w:sz="8"/>
        </w:pBdr>
        <w:spacing w:after="200" w:before="400"/>
      </w:pPr>
      <w:r>
        <w:rPr>
          <w:rFonts w:ascii="Arial" w:cs="Arial" w:eastAsia="Arial" w:hAnsi="Arial"/>
          <w:b/>
          <w:bCs/>
          <w:color w:val="1F3864"/>
          <w:sz w:val="36"/>
          <w:szCs w:val="36"/>
        </w:rPr>
        <w:t xml:space="preserve">7. Implementation Phases</w:t>
      </w:r>
    </w:p>
    <w:p>
      <w:pPr>
        <w:spacing w:after="80" w:before="80"/>
      </w:pPr>
      <w:r>
        <w:rPr>
          <w:rFonts w:ascii="Arial" w:cs="Arial" w:eastAsia="Arial" w:hAnsi="Arial"/>
          <w:color w:val="404040"/>
          <w:sz w:val="22"/>
          <w:szCs w:val="22"/>
        </w:rPr>
        <w:t xml:space="preserve">Phase-II is organized into three sequential tracks. Tracks 1 and 2 can run in parallel. Track 3 is dependent on Track 2 outputs.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Track / Phase</w:t>
            </w:r>
          </w:p>
        </w:tc>
        <w:tc>
          <w:tcPr>
            <w:tcW w:type="dxa" w:w="6960"/>
            <w:tcBorders>
              <w:top w:val="single" w:color="4472C4" w:sz="4"/>
              <w:left w:val="single" w:color="4472C4" w:sz="4"/>
              <w:bottom w:val="single" w:color="4472C4" w:sz="4"/>
              <w:right w:val="single" w:color="4472C4" w:sz="4"/>
            </w:tcBorders>
            <w:shd w:fill="4472C4"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Goal and Scope</w:t>
            </w:r>
          </w:p>
        </w:tc>
      </w:tr>
      <w:tr>
        <w:tc>
          <w:tcPr>
            <w:tcW w:type="dxa" w:w="24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Track 1: Theoretical (Weeks 1–8)</w:t>
            </w:r>
          </w:p>
        </w:tc>
        <w:tc>
          <w:tcPr>
            <w:tcW w:type="dxa" w:w="69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Recoverability Geometry formalization — mathematical research, estimator design, backtested prototype</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Track 2: Quant (Weeks 1–6)</w:t>
            </w:r>
          </w:p>
        </w:tc>
        <w:tc>
          <w:tcPr>
            <w:tcW w:type="dxa" w:w="69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MRTP scoring formalization, convexity sleeve expansion, Dynamic Kelly prototype</w:t>
            </w:r>
          </w:p>
        </w:tc>
      </w:tr>
      <w:tr>
        <w:tc>
          <w:tcPr>
            <w:tcW w:type="dxa" w:w="24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Track 3: Systems (Weeks 4–12)</w:t>
            </w:r>
          </w:p>
        </w:tc>
        <w:tc>
          <w:tcPr>
            <w:tcW w:type="dxa" w:w="69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Runtime orchestration, execution graph implementation, state schema, storage contracts</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Track 4: Portfolio (Weeks 6–10)</w:t>
            </w:r>
          </w:p>
        </w:tc>
        <w:tc>
          <w:tcPr>
            <w:tcW w:type="dxa" w:w="69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Kelly deformation calibration, anti-whipsaw rules, contraction hysteresis testing</w:t>
            </w:r>
          </w:p>
        </w:tc>
      </w:tr>
      <w:tr>
        <w:tc>
          <w:tcPr>
            <w:tcW w:type="dxa" w:w="240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Track 5: Governance (Ongoing)</w:t>
            </w:r>
          </w:p>
        </w:tc>
        <w:tc>
          <w:tcPr>
            <w:tcW w:type="dxa" w:w="6960"/>
            <w:tcBorders>
              <w:top w:val="single" w:color="4472C4" w:sz="4"/>
              <w:left w:val="single" w:color="4472C4" w:sz="4"/>
              <w:bottom w:val="single" w:color="4472C4" w:sz="4"/>
              <w:right w:val="single" w:color="4472C4" w:sz="4"/>
            </w:tcBorders>
            <w:shd w:fill="F2F2F2"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Sleeve Registry formalization, admissibility pipeline API, contribution framework</w:t>
            </w:r>
          </w:p>
        </w:tc>
      </w:tr>
      <w:tr>
        <w:tc>
          <w:tcPr>
            <w:tcW w:type="dxa" w:w="240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Integration (Weeks 10–14)</w:t>
            </w:r>
          </w:p>
        </w:tc>
        <w:tc>
          <w:tcPr>
            <w:tcW w:type="dxa" w:w="6960"/>
            <w:tcBorders>
              <w:top w:val="single" w:color="4472C4" w:sz="4"/>
              <w:left w:val="single" w:color="4472C4" w:sz="4"/>
              <w:bottom w:val="single" w:color="4472C4" w:sz="4"/>
              <w:right w:val="single" w:color="4472C4"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404040"/>
                <w:sz w:val="20"/>
                <w:szCs w:val="20"/>
              </w:rPr>
              <w:t xml:space="preserve">Full pipeline integration test, regime stress-test across 2008/2020/2022, CTO test targets validation</w:t>
            </w:r>
          </w:p>
        </w:tc>
      </w:tr>
    </w:tbl>
    <w:p>
      <w:pPr>
        <w:spacing w:after="0" w:before="100"/>
      </w:pPr>
      <w:r>
        <w:t xml:space="preserve"/>
      </w:r>
    </w:p>
    <w:p>
      <w:pPr>
        <w:pStyle w:val="Heading2"/>
        <w:spacing w:after="120" w:before="300"/>
      </w:pPr>
      <w:r>
        <w:rPr>
          <w:rFonts w:ascii="Arial" w:cs="Arial" w:eastAsia="Arial" w:hAnsi="Arial"/>
          <w:b/>
          <w:bCs/>
          <w:color w:val="2E5FA3"/>
          <w:sz w:val="28"/>
          <w:szCs w:val="28"/>
        </w:rPr>
        <w:t xml:space="preserve">7.1 Phase Acceptance Criteria</w:t>
      </w:r>
    </w:p>
    <w:p>
      <w:pPr>
        <w:spacing w:after="80" w:before="80"/>
      </w:pPr>
      <w:r>
        <w:rPr>
          <w:rFonts w:ascii="Arial" w:cs="Arial" w:eastAsia="Arial" w:hAnsi="Arial"/>
          <w:color w:val="404040"/>
          <w:sz w:val="22"/>
          <w:szCs w:val="22"/>
        </w:rPr>
        <w:t xml:space="preserve">Phase-II is complete when the following conditions are met simultaneously in walk-forward out-of-sample testing:</w:t>
      </w:r>
    </w:p>
    <w:p>
      <w:pPr>
        <w:spacing w:after="0" w:before="40"/>
      </w:pPr>
      <w:r>
        <w:t xml:space="preserve"/>
      </w:r>
    </w:p>
    <w:p>
      <w:pPr>
        <w:pStyle w:val="ListParagraph"/>
        <w:numPr>
          <w:ilvl w:val="0"/>
          <w:numId w:val="2"/>
        </w:numPr>
        <w:spacing w:after="40" w:before="40"/>
      </w:pPr>
      <w:r>
        <w:rPr>
          <w:rFonts w:ascii="Arial" w:cs="Arial" w:eastAsia="Arial" w:hAnsi="Arial"/>
          <w:color w:val="404040"/>
          <w:sz w:val="22"/>
          <w:szCs w:val="22"/>
        </w:rPr>
        <w:t xml:space="preserve">Sharpe &gt; 1.2 (full window)</w:t>
      </w:r>
    </w:p>
    <w:p>
      <w:pPr>
        <w:pStyle w:val="ListParagraph"/>
        <w:numPr>
          <w:ilvl w:val="0"/>
          <w:numId w:val="2"/>
        </w:numPr>
        <w:spacing w:after="40" w:before="40"/>
      </w:pPr>
      <w:r>
        <w:rPr>
          <w:rFonts w:ascii="Arial" w:cs="Arial" w:eastAsia="Arial" w:hAnsi="Arial"/>
          <w:color w:val="404040"/>
          <w:sz w:val="22"/>
          <w:szCs w:val="22"/>
        </w:rPr>
        <w:t xml:space="preserve">Sortino &gt; 1.5 (full window)</w:t>
      </w:r>
    </w:p>
    <w:p>
      <w:pPr>
        <w:pStyle w:val="ListParagraph"/>
        <w:numPr>
          <w:ilvl w:val="0"/>
          <w:numId w:val="2"/>
        </w:numPr>
        <w:spacing w:after="40" w:before="40"/>
      </w:pPr>
      <w:r>
        <w:rPr>
          <w:rFonts w:ascii="Arial" w:cs="Arial" w:eastAsia="Arial" w:hAnsi="Arial"/>
          <w:color w:val="404040"/>
          <w:sz w:val="22"/>
          <w:szCs w:val="22"/>
        </w:rPr>
        <w:t xml:space="preserve">Calmar &gt; 1.0 (full window)</w:t>
      </w:r>
    </w:p>
    <w:p>
      <w:pPr>
        <w:pStyle w:val="ListParagraph"/>
        <w:numPr>
          <w:ilvl w:val="0"/>
          <w:numId w:val="2"/>
        </w:numPr>
        <w:spacing w:after="40" w:before="40"/>
      </w:pPr>
      <w:r>
        <w:rPr>
          <w:rFonts w:ascii="Arial" w:cs="Arial" w:eastAsia="Arial" w:hAnsi="Arial"/>
          <w:color w:val="404040"/>
          <w:sz w:val="22"/>
          <w:szCs w:val="22"/>
        </w:rPr>
        <w:t xml:space="preserve">Max DD &lt; 8% (full window and stress windows)</w:t>
      </w:r>
    </w:p>
    <w:p>
      <w:pPr>
        <w:pStyle w:val="ListParagraph"/>
        <w:numPr>
          <w:ilvl w:val="0"/>
          <w:numId w:val="2"/>
        </w:numPr>
        <w:spacing w:after="40" w:before="40"/>
      </w:pPr>
      <w:r>
        <w:rPr>
          <w:rFonts w:ascii="Arial" w:cs="Arial" w:eastAsia="Arial" w:hAnsi="Arial"/>
          <w:color w:val="404040"/>
          <w:sz w:val="22"/>
          <w:szCs w:val="22"/>
        </w:rPr>
        <w:t xml:space="preserve">Corr SPY &lt; 0.15 (full window)</w:t>
      </w:r>
    </w:p>
    <w:p>
      <w:pPr>
        <w:pStyle w:val="ListParagraph"/>
        <w:numPr>
          <w:ilvl w:val="0"/>
          <w:numId w:val="2"/>
        </w:numPr>
        <w:spacing w:after="40" w:before="40"/>
      </w:pPr>
      <w:r>
        <w:rPr>
          <w:rFonts w:ascii="Arial" w:cs="Arial" w:eastAsia="Arial" w:hAnsi="Arial"/>
          <w:color w:val="404040"/>
          <w:sz w:val="22"/>
          <w:szCs w:val="22"/>
        </w:rPr>
        <w:t xml:space="preserve">2020 Corona relative performance maintained: Governance Core correctly detects admissibility collapse; crisis sleeves activate; drawdown remains below 8%</w:t>
      </w:r>
    </w:p>
    <w:p>
      <w:pPr>
        <w:pStyle w:val="ListParagraph"/>
        <w:numPr>
          <w:ilvl w:val="0"/>
          <w:numId w:val="2"/>
        </w:numPr>
        <w:spacing w:after="40" w:before="40"/>
      </w:pPr>
      <w:r>
        <w:rPr>
          <w:rFonts w:ascii="Arial" w:cs="Arial" w:eastAsia="Arial" w:hAnsi="Arial"/>
          <w:color w:val="404040"/>
          <w:sz w:val="22"/>
          <w:szCs w:val="22"/>
        </w:rPr>
        <w:t xml:space="preserve">Post-2020 reflation relative improvement: expansion convexity sleeve contributes positive marginal Sharpe; underexposure gap vs. Momentum narrows by minimum 30%</w:t>
      </w:r>
    </w:p>
    <w:p>
      <w:pPr>
        <w:spacing w:after="0" w:before="200"/>
      </w:pPr>
      <w:r>
        <w:t xml:space="preserve"/>
      </w:r>
    </w:p>
    <w:p>
      <w:pPr>
        <w:spacing w:after="0" w:before="0"/>
      </w:pPr>
      <w:r>
        <w:br w:type="page"/>
      </w:r>
    </w:p>
    <w:p>
      <w:pPr>
        <w:pStyle w:val="Heading1"/>
        <w:pBdr>
          <w:bottom w:val="single" w:color="4472C4" w:sz="8"/>
        </w:pBdr>
        <w:spacing w:after="200" w:before="400"/>
      </w:pPr>
      <w:r>
        <w:rPr>
          <w:rFonts w:ascii="Arial" w:cs="Arial" w:eastAsia="Arial" w:hAnsi="Arial"/>
          <w:b/>
          <w:bCs/>
          <w:color w:val="1F3864"/>
          <w:sz w:val="36"/>
          <w:szCs w:val="36"/>
        </w:rPr>
        <w:t xml:space="preserve">8. Architectural Direction — Final Statement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D6E4F0" w:val="clear"/>
            <w:tcMar>
              <w:top w:type="dxa" w:w="140"/>
              <w:left w:type="dxa" w:w="220"/>
              <w:bottom w:type="dxa" w:w="140"/>
              <w:right w:type="dxa" w:w="220"/>
            </w:tcMar>
          </w:tcPr>
          <w:p>
            <w:pPr>
              <w:spacing w:after="80" w:before="0"/>
            </w:pPr>
            <w:r>
              <w:rPr>
                <w:rFonts w:ascii="Arial" w:cs="Arial" w:eastAsia="Arial" w:hAnsi="Arial"/>
                <w:b/>
                <w:bCs/>
                <w:color w:val="1F3864"/>
                <w:sz w:val="22"/>
                <w:szCs w:val="22"/>
              </w:rPr>
              <w:t xml:space="preserve">The Long-Term Target</w:t>
            </w:r>
          </w:p>
          <w:p>
            <w:pPr>
              <w:spacing w:after="100" w:before="0"/>
            </w:pPr>
            <w:r>
              <w:rPr>
                <w:rFonts w:ascii="Arial" w:cs="Arial" w:eastAsia="Arial" w:hAnsi="Arial"/>
                <w:color w:val="404040"/>
                <w:sz w:val="22"/>
                <w:szCs w:val="22"/>
              </w:rPr>
              <w:t xml:space="preserve">PolyAgora's future edge is not better prediction. It is better recoverable maneuverability under changing regimes. The system that wins is not the one that sees the future most clearly — it is the one that preserves the most strategic options, exploits admissible convexity without becoming fragile, and navigates discontinuities with superior structural intelligence.</w:t>
            </w:r>
          </w:p>
          <w:p>
            <w:r>
              <w:rPr>
                <w:rFonts w:ascii="Arial" w:cs="Arial" w:eastAsia="Arial" w:hAnsi="Arial"/>
                <w:b/>
                <w:bCs/>
                <w:color w:val="1F3864"/>
                <w:sz w:val="22"/>
                <w:szCs w:val="22"/>
              </w:rPr>
              <w:t xml:space="preserve">This is what PolygonEye calls seeing the geometry before the second plane arrives.</w:t>
            </w:r>
          </w:p>
        </w:tc>
      </w:tr>
    </w:tbl>
    <w:p>
      <w:pPr>
        <w:spacing w:after="0" w:before="160"/>
      </w:pPr>
      <w:r>
        <w:t xml:space="preserve"/>
      </w:r>
    </w:p>
    <w:p>
      <w:pPr>
        <w:pStyle w:val="Heading2"/>
        <w:spacing w:after="120" w:before="300"/>
      </w:pPr>
      <w:r>
        <w:rPr>
          <w:rFonts w:ascii="Arial" w:cs="Arial" w:eastAsia="Arial" w:hAnsi="Arial"/>
          <w:b/>
          <w:bCs/>
          <w:color w:val="2E5FA3"/>
          <w:sz w:val="28"/>
          <w:szCs w:val="28"/>
        </w:rPr>
        <w:t xml:space="preserve">8.1 CTO Team Action</w:t>
      </w:r>
    </w:p>
    <w:p>
      <w:pPr>
        <w:spacing w:after="80" w:before="80"/>
      </w:pPr>
      <w:r>
        <w:rPr>
          <w:rFonts w:ascii="Arial" w:cs="Arial" w:eastAsia="Arial" w:hAnsi="Arial"/>
          <w:color w:val="404040"/>
          <w:sz w:val="22"/>
          <w:szCs w:val="22"/>
        </w:rPr>
        <w:t xml:space="preserve">This specification provides:</w:t>
      </w:r>
    </w:p>
    <w:p>
      <w:pPr>
        <w:spacing w:after="0" w:before="40"/>
      </w:pPr>
      <w:r>
        <w:t xml:space="preserve"/>
      </w:r>
    </w:p>
    <w:p>
      <w:pPr>
        <w:pStyle w:val="ListParagraph"/>
        <w:numPr>
          <w:ilvl w:val="0"/>
          <w:numId w:val="3"/>
        </w:numPr>
        <w:spacing w:after="40" w:before="40"/>
      </w:pPr>
      <w:r>
        <w:rPr>
          <w:rFonts w:ascii="Arial" w:cs="Arial" w:eastAsia="Arial" w:hAnsi="Arial"/>
          <w:color w:val="404040"/>
          <w:sz w:val="22"/>
          <w:szCs w:val="22"/>
        </w:rPr>
        <w:t xml:space="preserve">The mature target architecture with five formal layers</w:t>
      </w:r>
    </w:p>
    <w:p>
      <w:pPr>
        <w:pStyle w:val="ListParagraph"/>
        <w:numPr>
          <w:ilvl w:val="0"/>
          <w:numId w:val="3"/>
        </w:numPr>
        <w:spacing w:after="40" w:before="40"/>
      </w:pPr>
      <w:r>
        <w:rPr>
          <w:rFonts w:ascii="Arial" w:cs="Arial" w:eastAsia="Arial" w:hAnsi="Arial"/>
          <w:color w:val="404040"/>
          <w:sz w:val="22"/>
          <w:szCs w:val="22"/>
        </w:rPr>
        <w:t xml:space="preserve">Clear layer separation and interaction contracts</w:t>
      </w:r>
    </w:p>
    <w:p>
      <w:pPr>
        <w:pStyle w:val="ListParagraph"/>
        <w:numPr>
          <w:ilvl w:val="0"/>
          <w:numId w:val="3"/>
        </w:numPr>
        <w:spacing w:after="40" w:before="40"/>
      </w:pPr>
      <w:r>
        <w:rPr>
          <w:rFonts w:ascii="Arial" w:cs="Arial" w:eastAsia="Arial" w:hAnsi="Arial"/>
          <w:color w:val="404040"/>
          <w:sz w:val="22"/>
          <w:szCs w:val="22"/>
        </w:rPr>
        <w:t xml:space="preserve">Inviolable constraints that define the engineering boundary</w:t>
      </w:r>
    </w:p>
    <w:p>
      <w:pPr>
        <w:pStyle w:val="ListParagraph"/>
        <w:numPr>
          <w:ilvl w:val="0"/>
          <w:numId w:val="3"/>
        </w:numPr>
        <w:spacing w:after="40" w:before="40"/>
      </w:pPr>
      <w:r>
        <w:rPr>
          <w:rFonts w:ascii="Arial" w:cs="Arial" w:eastAsia="Arial" w:hAnsi="Arial"/>
          <w:color w:val="404040"/>
          <w:sz w:val="22"/>
          <w:szCs w:val="22"/>
        </w:rPr>
        <w:t xml:space="preserve">Four open engineering problems with formal question sets</w:t>
      </w:r>
    </w:p>
    <w:p>
      <w:pPr>
        <w:pStyle w:val="ListParagraph"/>
        <w:numPr>
          <w:ilvl w:val="0"/>
          <w:numId w:val="3"/>
        </w:numPr>
        <w:spacing w:after="40" w:before="40"/>
      </w:pPr>
      <w:r>
        <w:rPr>
          <w:rFonts w:ascii="Arial" w:cs="Arial" w:eastAsia="Arial" w:hAnsi="Arial"/>
          <w:color w:val="404040"/>
          <w:sz w:val="22"/>
          <w:szCs w:val="22"/>
        </w:rPr>
        <w:t xml:space="preserve">A runtime execution graph with mandatory ordering</w:t>
      </w:r>
    </w:p>
    <w:p>
      <w:pPr>
        <w:pStyle w:val="ListParagraph"/>
        <w:numPr>
          <w:ilvl w:val="0"/>
          <w:numId w:val="3"/>
        </w:numPr>
        <w:spacing w:after="40" w:before="40"/>
      </w:pPr>
      <w:r>
        <w:rPr>
          <w:rFonts w:ascii="Arial" w:cs="Arial" w:eastAsia="Arial" w:hAnsi="Arial"/>
          <w:color w:val="404040"/>
          <w:sz w:val="22"/>
          <w:szCs w:val="22"/>
        </w:rPr>
        <w:t xml:space="preserve">Three deliverables with explicit scope</w:t>
      </w:r>
    </w:p>
    <w:p>
      <w:pPr>
        <w:pStyle w:val="ListParagraph"/>
        <w:numPr>
          <w:ilvl w:val="0"/>
          <w:numId w:val="3"/>
        </w:numPr>
        <w:spacing w:after="40" w:before="40"/>
      </w:pPr>
      <w:r>
        <w:rPr>
          <w:rFonts w:ascii="Arial" w:cs="Arial" w:eastAsia="Arial" w:hAnsi="Arial"/>
          <w:color w:val="404040"/>
          <w:sz w:val="22"/>
          <w:szCs w:val="22"/>
        </w:rPr>
        <w:t xml:space="preserve">Phase acceptance criteria tied to the first CTO test targets</w:t>
      </w:r>
    </w:p>
    <w:p>
      <w:pPr>
        <w:spacing w:after="0" w:before="80"/>
      </w:pPr>
      <w:r>
        <w:t xml:space="preserve"/>
      </w:r>
    </w:p>
    <w:p>
      <w:pPr>
        <w:spacing w:after="80" w:before="80"/>
      </w:pPr>
      <w:r>
        <w:rPr>
          <w:rFonts w:ascii="Arial" w:cs="Arial" w:eastAsia="Arial" w:hAnsi="Arial"/>
          <w:color w:val="404040"/>
          <w:sz w:val="22"/>
          <w:szCs w:val="22"/>
        </w:rPr>
        <w:t xml:space="preserve">The CTO team's response to this specification should take the form of a counterproposal — not pure implementation agreement but a structured challenge to assumptions, feasibility assessment, and simplification opportunities. The dialogue between this strategic specification and the CTO's engineering counterproposal is where the real Phase-II architecture will crystallize.</w:t>
      </w:r>
    </w:p>
    <w:p>
      <w:pPr>
        <w:spacing w:after="0" w:before="80"/>
      </w:pPr>
      <w:r>
        <w:t xml:space="preserve"/>
      </w:r>
    </w:p>
    <w:p>
      <w:pPr>
        <w:spacing w:after="80" w:before="80"/>
      </w:pPr>
      <w:r>
        <w:rPr>
          <w:rFonts w:ascii="Arial" w:cs="Arial" w:eastAsia="Arial" w:hAnsi="Arial"/>
          <w:b/>
          <w:bCs/>
          <w:color w:val="404040"/>
          <w:sz w:val="22"/>
          <w:szCs w:val="22"/>
        </w:rPr>
        <w:t xml:space="preserve">Request: </w:t>
      </w:r>
      <w:r>
        <w:rPr>
          <w:rFonts w:ascii="Arial" w:cs="Arial" w:eastAsia="Arial" w:hAnsi="Arial"/>
          <w:color w:val="404040"/>
          <w:sz w:val="22"/>
          <w:szCs w:val="22"/>
        </w:rPr>
        <w:t xml:space="preserve">Return Deliverables A, B, and C within eight weeks, accompanied by an architectural counterproposal that identifies the three highest-risk assumptions in this specification and proposes engineering mitigations.</w:t>
      </w:r>
    </w:p>
    <w:p>
      <w:pPr>
        <w:spacing w:after="0" w:before="200"/>
      </w:pPr>
      <w:r>
        <w:t xml:space="preserve"/>
      </w:r>
    </w:p>
    <w:p>
      <w:pPr>
        <w:pBdr>
          <w:top w:val="single" w:color="D0D0D0" w:sz="4"/>
        </w:pBdr>
        <w:spacing w:after="0" w:before="200"/>
        <w:jc w:val="center"/>
      </w:pPr>
      <w:r>
        <w:rPr>
          <w:rFonts w:ascii="Arial" w:cs="Arial" w:eastAsia="Arial" w:hAnsi="Arial"/>
          <w:color w:val="4472C4"/>
          <w:sz w:val="18"/>
          <w:szCs w:val="18"/>
        </w:rPr>
        <w:t xml:space="preserve">PolygonEye AI Lab · PolyAgora Phase-II Engineering Specification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2026-05-17T18:28:17.017Z</dcterms:created>
  <dcterms:modified xsi:type="dcterms:W3CDTF">2026-05-17T18:28:17.019Z</dcterms:modified>
</cp:coreProperties>
</file>

<file path=docProps/custom.xml><?xml version="1.0" encoding="utf-8"?>
<Properties xmlns="http://schemas.openxmlformats.org/officeDocument/2006/custom-properties" xmlns:vt="http://schemas.openxmlformats.org/officeDocument/2006/docPropsVTypes"/>
</file>