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95D74" w14:textId="77777777" w:rsidR="00F0077F" w:rsidRDefault="00F0077F" w:rsidP="00D859CA">
      <w:pPr>
        <w:ind w:firstLine="720"/>
        <w:rPr>
          <w:rFonts w:ascii="Garamond" w:hAnsi="Garamond"/>
        </w:rPr>
      </w:pPr>
    </w:p>
    <w:p w14:paraId="5A52FFA9" w14:textId="77777777" w:rsidR="00F0077F" w:rsidRDefault="00F0077F" w:rsidP="00D859CA">
      <w:pPr>
        <w:ind w:firstLine="720"/>
        <w:rPr>
          <w:rFonts w:ascii="Garamond" w:hAnsi="Garamond"/>
        </w:rPr>
      </w:pPr>
    </w:p>
    <w:p w14:paraId="3D26CC0A" w14:textId="77777777" w:rsidR="00F0077F" w:rsidRDefault="00F0077F" w:rsidP="00D859CA">
      <w:pPr>
        <w:ind w:firstLine="720"/>
        <w:rPr>
          <w:rFonts w:ascii="Garamond" w:hAnsi="Garamond"/>
        </w:rPr>
      </w:pPr>
    </w:p>
    <w:p w14:paraId="146E66B7" w14:textId="77777777" w:rsidR="00F0077F" w:rsidRDefault="00F0077F" w:rsidP="00D859CA">
      <w:pPr>
        <w:ind w:firstLine="720"/>
        <w:rPr>
          <w:rFonts w:ascii="Garamond" w:hAnsi="Garamond"/>
        </w:rPr>
      </w:pPr>
    </w:p>
    <w:p w14:paraId="6A672E1B" w14:textId="77777777" w:rsidR="00F0077F" w:rsidRDefault="00F0077F" w:rsidP="00D859CA">
      <w:pPr>
        <w:ind w:firstLine="720"/>
        <w:rPr>
          <w:rFonts w:ascii="Garamond" w:hAnsi="Garamond"/>
        </w:rPr>
      </w:pPr>
    </w:p>
    <w:p w14:paraId="1360A16C" w14:textId="77777777" w:rsidR="00F0077F" w:rsidRDefault="00F0077F" w:rsidP="00D859CA">
      <w:pPr>
        <w:ind w:firstLine="720"/>
        <w:rPr>
          <w:rFonts w:ascii="Garamond" w:hAnsi="Garamond"/>
        </w:rPr>
      </w:pPr>
    </w:p>
    <w:p w14:paraId="7D1D5704" w14:textId="77777777" w:rsidR="00F0077F" w:rsidRDefault="00F0077F" w:rsidP="00D859CA">
      <w:pPr>
        <w:ind w:firstLine="720"/>
        <w:rPr>
          <w:rFonts w:ascii="Garamond" w:hAnsi="Garamond"/>
        </w:rPr>
      </w:pPr>
    </w:p>
    <w:p w14:paraId="69A029CA" w14:textId="77777777" w:rsidR="00F0077F" w:rsidRDefault="00F0077F" w:rsidP="00D859CA">
      <w:pPr>
        <w:ind w:firstLine="720"/>
        <w:rPr>
          <w:rFonts w:ascii="Garamond" w:hAnsi="Garamond"/>
        </w:rPr>
      </w:pPr>
    </w:p>
    <w:p w14:paraId="4070159B" w14:textId="77777777" w:rsidR="00F0077F" w:rsidRDefault="00F0077F" w:rsidP="00D859CA">
      <w:pPr>
        <w:ind w:firstLine="720"/>
        <w:rPr>
          <w:rFonts w:ascii="Garamond" w:hAnsi="Garamond"/>
        </w:rPr>
      </w:pPr>
    </w:p>
    <w:p w14:paraId="26F9B261" w14:textId="77777777" w:rsidR="00F0077F" w:rsidRDefault="00F0077F" w:rsidP="00D859CA">
      <w:pPr>
        <w:ind w:firstLine="720"/>
        <w:rPr>
          <w:rFonts w:ascii="Garamond" w:hAnsi="Garamond"/>
        </w:rPr>
      </w:pPr>
    </w:p>
    <w:p w14:paraId="543CE943" w14:textId="77777777" w:rsidR="00F0077F" w:rsidRDefault="00F0077F" w:rsidP="00D859CA">
      <w:pPr>
        <w:ind w:firstLine="720"/>
        <w:rPr>
          <w:rFonts w:ascii="Garamond" w:hAnsi="Garamond"/>
        </w:rPr>
      </w:pPr>
    </w:p>
    <w:p w14:paraId="3FCD87C1" w14:textId="77777777" w:rsidR="00F0077F" w:rsidRDefault="00F0077F" w:rsidP="00D859CA">
      <w:pPr>
        <w:ind w:firstLine="720"/>
        <w:rPr>
          <w:rFonts w:ascii="Garamond" w:hAnsi="Garamond"/>
        </w:rPr>
      </w:pPr>
    </w:p>
    <w:p w14:paraId="4ADDDDD7" w14:textId="77777777" w:rsidR="00F0077F" w:rsidRPr="006752F8" w:rsidRDefault="00F0077F" w:rsidP="000D590F">
      <w:pPr>
        <w:ind w:firstLine="720"/>
        <w:jc w:val="center"/>
        <w:rPr>
          <w:rFonts w:ascii="Garamond" w:hAnsi="Garamond"/>
          <w:b/>
          <w:sz w:val="48"/>
          <w:szCs w:val="48"/>
        </w:rPr>
      </w:pPr>
    </w:p>
    <w:p w14:paraId="3C945C12" w14:textId="2CF376F3" w:rsidR="00F0077F" w:rsidRPr="006752F8" w:rsidRDefault="000D590F" w:rsidP="000D590F">
      <w:pPr>
        <w:ind w:firstLine="720"/>
        <w:jc w:val="center"/>
        <w:rPr>
          <w:rFonts w:ascii="Garamond" w:hAnsi="Garamond"/>
          <w:b/>
          <w:sz w:val="48"/>
          <w:szCs w:val="48"/>
        </w:rPr>
      </w:pPr>
      <w:r w:rsidRPr="006752F8">
        <w:rPr>
          <w:rFonts w:ascii="Garamond" w:hAnsi="Garamond"/>
          <w:b/>
          <w:sz w:val="48"/>
          <w:szCs w:val="48"/>
        </w:rPr>
        <w:t>Andrew Hillard</w:t>
      </w:r>
    </w:p>
    <w:p w14:paraId="132705A6" w14:textId="1D9B4DFB" w:rsidR="000D590F" w:rsidRPr="006752F8" w:rsidRDefault="000D590F" w:rsidP="000D590F">
      <w:pPr>
        <w:ind w:firstLine="720"/>
        <w:jc w:val="center"/>
        <w:rPr>
          <w:rFonts w:ascii="Garamond" w:hAnsi="Garamond"/>
          <w:b/>
          <w:sz w:val="48"/>
          <w:szCs w:val="48"/>
        </w:rPr>
      </w:pPr>
      <w:r w:rsidRPr="006752F8">
        <w:rPr>
          <w:rFonts w:ascii="Garamond" w:hAnsi="Garamond"/>
          <w:b/>
          <w:sz w:val="48"/>
          <w:szCs w:val="48"/>
        </w:rPr>
        <w:t xml:space="preserve">Bayesian Final Presentation </w:t>
      </w:r>
    </w:p>
    <w:p w14:paraId="5B105BB6" w14:textId="4E018AF9" w:rsidR="000D590F" w:rsidRPr="006752F8" w:rsidRDefault="000D590F" w:rsidP="000D590F">
      <w:pPr>
        <w:ind w:firstLine="720"/>
        <w:jc w:val="center"/>
        <w:rPr>
          <w:rFonts w:ascii="Garamond" w:hAnsi="Garamond"/>
          <w:b/>
          <w:sz w:val="48"/>
          <w:szCs w:val="48"/>
        </w:rPr>
      </w:pPr>
      <w:r w:rsidRPr="006752F8">
        <w:rPr>
          <w:rFonts w:ascii="Garamond" w:hAnsi="Garamond"/>
          <w:b/>
          <w:sz w:val="48"/>
          <w:szCs w:val="48"/>
        </w:rPr>
        <w:t>May 10, 2016</w:t>
      </w:r>
    </w:p>
    <w:p w14:paraId="229CE5A6" w14:textId="77777777" w:rsidR="00F0077F" w:rsidRDefault="00F0077F" w:rsidP="000D590F">
      <w:pPr>
        <w:ind w:firstLine="720"/>
        <w:jc w:val="center"/>
        <w:rPr>
          <w:rFonts w:ascii="Garamond" w:hAnsi="Garamond"/>
        </w:rPr>
      </w:pPr>
    </w:p>
    <w:p w14:paraId="7822D33D" w14:textId="77777777" w:rsidR="00F0077F" w:rsidRDefault="00F0077F" w:rsidP="00D859CA">
      <w:pPr>
        <w:ind w:firstLine="720"/>
        <w:rPr>
          <w:rFonts w:ascii="Garamond" w:hAnsi="Garamond"/>
        </w:rPr>
      </w:pPr>
    </w:p>
    <w:p w14:paraId="6B0EC55E" w14:textId="77777777" w:rsidR="00F0077F" w:rsidRDefault="00F0077F" w:rsidP="00D859CA">
      <w:pPr>
        <w:ind w:firstLine="720"/>
        <w:rPr>
          <w:rFonts w:ascii="Garamond" w:hAnsi="Garamond"/>
        </w:rPr>
      </w:pPr>
    </w:p>
    <w:p w14:paraId="30B68AE1" w14:textId="77777777" w:rsidR="00F0077F" w:rsidRDefault="00F0077F" w:rsidP="00D859CA">
      <w:pPr>
        <w:ind w:firstLine="720"/>
        <w:rPr>
          <w:rFonts w:ascii="Garamond" w:hAnsi="Garamond"/>
        </w:rPr>
      </w:pPr>
    </w:p>
    <w:p w14:paraId="65FAAA95" w14:textId="77777777" w:rsidR="00F0077F" w:rsidRDefault="00F0077F" w:rsidP="00D859CA">
      <w:pPr>
        <w:ind w:firstLine="720"/>
        <w:rPr>
          <w:rFonts w:ascii="Garamond" w:hAnsi="Garamond"/>
        </w:rPr>
      </w:pPr>
    </w:p>
    <w:p w14:paraId="5C6F15F5" w14:textId="77777777" w:rsidR="00F0077F" w:rsidRDefault="00F0077F" w:rsidP="00D859CA">
      <w:pPr>
        <w:ind w:firstLine="720"/>
        <w:rPr>
          <w:rFonts w:ascii="Garamond" w:hAnsi="Garamond"/>
        </w:rPr>
      </w:pPr>
    </w:p>
    <w:p w14:paraId="2CAA2D33" w14:textId="77777777" w:rsidR="00F0077F" w:rsidRDefault="00F0077F" w:rsidP="00D859CA">
      <w:pPr>
        <w:ind w:firstLine="720"/>
        <w:rPr>
          <w:rFonts w:ascii="Garamond" w:hAnsi="Garamond"/>
        </w:rPr>
      </w:pPr>
    </w:p>
    <w:p w14:paraId="1794C529" w14:textId="77777777" w:rsidR="00F0077F" w:rsidRDefault="00F0077F" w:rsidP="00D859CA">
      <w:pPr>
        <w:ind w:firstLine="720"/>
        <w:rPr>
          <w:rFonts w:ascii="Garamond" w:hAnsi="Garamond"/>
        </w:rPr>
      </w:pPr>
    </w:p>
    <w:p w14:paraId="415C823F" w14:textId="77777777" w:rsidR="00F0077F" w:rsidRDefault="00F0077F" w:rsidP="00D859CA">
      <w:pPr>
        <w:ind w:firstLine="720"/>
        <w:rPr>
          <w:rFonts w:ascii="Garamond" w:hAnsi="Garamond"/>
        </w:rPr>
      </w:pPr>
    </w:p>
    <w:p w14:paraId="14FD8840" w14:textId="77777777" w:rsidR="00F0077F" w:rsidRDefault="00F0077F" w:rsidP="00D859CA">
      <w:pPr>
        <w:ind w:firstLine="720"/>
        <w:rPr>
          <w:rFonts w:ascii="Garamond" w:hAnsi="Garamond"/>
        </w:rPr>
      </w:pPr>
    </w:p>
    <w:p w14:paraId="5D60BF2A" w14:textId="77777777" w:rsidR="00F0077F" w:rsidRDefault="00F0077F" w:rsidP="00D859CA">
      <w:pPr>
        <w:ind w:firstLine="720"/>
        <w:rPr>
          <w:rFonts w:ascii="Garamond" w:hAnsi="Garamond"/>
        </w:rPr>
      </w:pPr>
    </w:p>
    <w:p w14:paraId="639285C6" w14:textId="77777777" w:rsidR="00F0077F" w:rsidRDefault="00F0077F" w:rsidP="00D859CA">
      <w:pPr>
        <w:ind w:firstLine="720"/>
        <w:rPr>
          <w:rFonts w:ascii="Garamond" w:hAnsi="Garamond"/>
        </w:rPr>
      </w:pPr>
    </w:p>
    <w:p w14:paraId="0722DCC4" w14:textId="77777777" w:rsidR="00F0077F" w:rsidRDefault="00F0077F" w:rsidP="00D859CA">
      <w:pPr>
        <w:ind w:firstLine="720"/>
        <w:rPr>
          <w:rFonts w:ascii="Garamond" w:hAnsi="Garamond"/>
        </w:rPr>
      </w:pPr>
    </w:p>
    <w:p w14:paraId="5F7C0AE4" w14:textId="77777777" w:rsidR="00F0077F" w:rsidRDefault="00F0077F" w:rsidP="00D859CA">
      <w:pPr>
        <w:ind w:firstLine="720"/>
        <w:rPr>
          <w:rFonts w:ascii="Garamond" w:hAnsi="Garamond"/>
        </w:rPr>
      </w:pPr>
    </w:p>
    <w:p w14:paraId="34BAB5CE" w14:textId="77777777" w:rsidR="00F0077F" w:rsidRDefault="00F0077F" w:rsidP="00D859CA">
      <w:pPr>
        <w:ind w:firstLine="720"/>
        <w:rPr>
          <w:rFonts w:ascii="Garamond" w:hAnsi="Garamond"/>
        </w:rPr>
      </w:pPr>
    </w:p>
    <w:p w14:paraId="79DD65AA" w14:textId="77777777" w:rsidR="00F0077F" w:rsidRDefault="00F0077F" w:rsidP="00D859CA">
      <w:pPr>
        <w:ind w:firstLine="720"/>
        <w:rPr>
          <w:rFonts w:ascii="Garamond" w:hAnsi="Garamond"/>
        </w:rPr>
      </w:pPr>
    </w:p>
    <w:p w14:paraId="3D92360D" w14:textId="77777777" w:rsidR="00F0077F" w:rsidRDefault="00F0077F" w:rsidP="00D859CA">
      <w:pPr>
        <w:ind w:firstLine="720"/>
        <w:rPr>
          <w:rFonts w:ascii="Garamond" w:hAnsi="Garamond"/>
        </w:rPr>
      </w:pPr>
    </w:p>
    <w:p w14:paraId="2D305DFA" w14:textId="77777777" w:rsidR="00F0077F" w:rsidRDefault="00F0077F" w:rsidP="00D859CA">
      <w:pPr>
        <w:ind w:firstLine="720"/>
        <w:rPr>
          <w:rFonts w:ascii="Garamond" w:hAnsi="Garamond"/>
        </w:rPr>
      </w:pPr>
    </w:p>
    <w:p w14:paraId="3391FDB6" w14:textId="77777777" w:rsidR="00F0077F" w:rsidRDefault="00F0077F" w:rsidP="00D859CA">
      <w:pPr>
        <w:ind w:firstLine="720"/>
        <w:rPr>
          <w:rFonts w:ascii="Garamond" w:hAnsi="Garamond"/>
        </w:rPr>
      </w:pPr>
    </w:p>
    <w:p w14:paraId="02BF0A4F" w14:textId="77777777" w:rsidR="00F0077F" w:rsidRDefault="00F0077F" w:rsidP="00D859CA">
      <w:pPr>
        <w:ind w:firstLine="720"/>
        <w:rPr>
          <w:rFonts w:ascii="Garamond" w:hAnsi="Garamond"/>
        </w:rPr>
      </w:pPr>
    </w:p>
    <w:p w14:paraId="75FB2E58" w14:textId="77777777" w:rsidR="00F0077F" w:rsidRDefault="00F0077F" w:rsidP="00D859CA">
      <w:pPr>
        <w:ind w:firstLine="720"/>
        <w:rPr>
          <w:rFonts w:ascii="Garamond" w:hAnsi="Garamond"/>
        </w:rPr>
      </w:pPr>
    </w:p>
    <w:p w14:paraId="402DE846" w14:textId="77777777" w:rsidR="00F0077F" w:rsidRDefault="00F0077F" w:rsidP="00D859CA">
      <w:pPr>
        <w:ind w:firstLine="720"/>
        <w:rPr>
          <w:rFonts w:ascii="Garamond" w:hAnsi="Garamond"/>
        </w:rPr>
      </w:pPr>
    </w:p>
    <w:p w14:paraId="3C348B0A" w14:textId="77777777" w:rsidR="00F0077F" w:rsidRDefault="00F0077F" w:rsidP="00D859CA">
      <w:pPr>
        <w:ind w:firstLine="720"/>
        <w:rPr>
          <w:rFonts w:ascii="Garamond" w:hAnsi="Garamond"/>
        </w:rPr>
      </w:pPr>
    </w:p>
    <w:p w14:paraId="23907975" w14:textId="77777777" w:rsidR="006752F8" w:rsidRDefault="006752F8" w:rsidP="006752F8">
      <w:pPr>
        <w:rPr>
          <w:rFonts w:ascii="Garamond" w:hAnsi="Garamond"/>
        </w:rPr>
      </w:pPr>
    </w:p>
    <w:p w14:paraId="78903DB7" w14:textId="77777777" w:rsidR="006752F8" w:rsidRDefault="006752F8" w:rsidP="006752F8">
      <w:pPr>
        <w:rPr>
          <w:rFonts w:ascii="Garamond" w:hAnsi="Garamond"/>
        </w:rPr>
      </w:pPr>
    </w:p>
    <w:p w14:paraId="29466902" w14:textId="77777777" w:rsidR="00F0077F" w:rsidRDefault="00F0077F" w:rsidP="00D859CA">
      <w:pPr>
        <w:ind w:firstLine="720"/>
        <w:rPr>
          <w:rFonts w:ascii="Garamond" w:hAnsi="Garamond"/>
        </w:rPr>
      </w:pPr>
    </w:p>
    <w:p w14:paraId="73C3174F" w14:textId="77777777" w:rsidR="00F0077F" w:rsidRDefault="00F0077F" w:rsidP="00F0077F">
      <w:pPr>
        <w:rPr>
          <w:rFonts w:ascii="Garamond" w:hAnsi="Garamond"/>
        </w:rPr>
      </w:pPr>
    </w:p>
    <w:p w14:paraId="41C12D6B" w14:textId="60EAE570" w:rsidR="00B163F7" w:rsidRPr="0039029A" w:rsidRDefault="00F0077F" w:rsidP="00F0077F">
      <w:pPr>
        <w:rPr>
          <w:rFonts w:ascii="Garamond" w:hAnsi="Garamond"/>
        </w:rPr>
      </w:pPr>
      <w:r>
        <w:rPr>
          <w:rFonts w:ascii="Garamond" w:hAnsi="Garamond"/>
        </w:rPr>
        <w:lastRenderedPageBreak/>
        <w:tab/>
      </w:r>
      <w:r w:rsidR="00D859CA" w:rsidRPr="0039029A">
        <w:rPr>
          <w:rFonts w:ascii="Garamond" w:hAnsi="Garamond"/>
        </w:rPr>
        <w:t>“An Overview of Robust Bayesian Analysis”</w:t>
      </w:r>
      <w:r w:rsidR="00AC437E" w:rsidRPr="0039029A">
        <w:rPr>
          <w:rFonts w:ascii="Garamond" w:hAnsi="Garamond"/>
        </w:rPr>
        <w:t xml:space="preserve"> </w:t>
      </w:r>
      <w:r w:rsidR="004B1A24" w:rsidRPr="0039029A">
        <w:rPr>
          <w:rFonts w:ascii="Garamond" w:hAnsi="Garamond"/>
        </w:rPr>
        <w:t>gives</w:t>
      </w:r>
      <w:r w:rsidR="00D859CA" w:rsidRPr="0039029A">
        <w:rPr>
          <w:rFonts w:ascii="Garamond" w:hAnsi="Garamond"/>
        </w:rPr>
        <w:t xml:space="preserve"> </w:t>
      </w:r>
      <w:r w:rsidR="00AA41E9">
        <w:rPr>
          <w:rFonts w:ascii="Garamond" w:hAnsi="Garamond"/>
        </w:rPr>
        <w:t xml:space="preserve">the motivation </w:t>
      </w:r>
      <w:r w:rsidR="004B1A24" w:rsidRPr="0039029A">
        <w:rPr>
          <w:rFonts w:ascii="Garamond" w:hAnsi="Garamond"/>
        </w:rPr>
        <w:t>and</w:t>
      </w:r>
      <w:r w:rsidR="00D859CA" w:rsidRPr="0039029A">
        <w:rPr>
          <w:rFonts w:ascii="Garamond" w:hAnsi="Garamond"/>
        </w:rPr>
        <w:t xml:space="preserve"> techniques </w:t>
      </w:r>
      <w:r w:rsidR="00862A83">
        <w:rPr>
          <w:rFonts w:ascii="Garamond" w:hAnsi="Garamond"/>
        </w:rPr>
        <w:t xml:space="preserve">for </w:t>
      </w:r>
      <w:r w:rsidR="00AA41E9">
        <w:rPr>
          <w:rFonts w:ascii="Garamond" w:hAnsi="Garamond"/>
        </w:rPr>
        <w:t>Robust Bayesian A</w:t>
      </w:r>
      <w:r w:rsidR="0068075A">
        <w:rPr>
          <w:rFonts w:ascii="Garamond" w:hAnsi="Garamond"/>
        </w:rPr>
        <w:t xml:space="preserve">nalysis (RBA). RBA is </w:t>
      </w:r>
      <w:r w:rsidR="004B1A24" w:rsidRPr="0039029A">
        <w:rPr>
          <w:rFonts w:ascii="Garamond" w:hAnsi="Garamond"/>
        </w:rPr>
        <w:t>the</w:t>
      </w:r>
      <w:r w:rsidR="00C16634" w:rsidRPr="0039029A">
        <w:rPr>
          <w:rFonts w:ascii="Garamond" w:hAnsi="Garamond"/>
        </w:rPr>
        <w:t xml:space="preserve"> study of the sensitivity of Bayes</w:t>
      </w:r>
      <w:r w:rsidR="00D859CA" w:rsidRPr="0039029A">
        <w:rPr>
          <w:rFonts w:ascii="Garamond" w:hAnsi="Garamond"/>
        </w:rPr>
        <w:t>ian answers to uncertain</w:t>
      </w:r>
      <w:r w:rsidR="0068075A">
        <w:rPr>
          <w:rFonts w:ascii="Garamond" w:hAnsi="Garamond"/>
        </w:rPr>
        <w:t xml:space="preserve"> inputs (e.g. model and prior). RBA </w:t>
      </w:r>
      <w:r w:rsidR="00D859CA" w:rsidRPr="0039029A">
        <w:rPr>
          <w:rFonts w:ascii="Garamond" w:hAnsi="Garamond"/>
        </w:rPr>
        <w:t xml:space="preserve">is important because it </w:t>
      </w:r>
      <w:r w:rsidR="0068075A">
        <w:rPr>
          <w:rFonts w:ascii="Garamond" w:hAnsi="Garamond"/>
        </w:rPr>
        <w:t>gives</w:t>
      </w:r>
      <w:r w:rsidR="00D859CA" w:rsidRPr="0039029A">
        <w:rPr>
          <w:rFonts w:ascii="Garamond" w:hAnsi="Garamond"/>
        </w:rPr>
        <w:t xml:space="preserve"> a</w:t>
      </w:r>
      <w:r w:rsidR="0068075A">
        <w:rPr>
          <w:rFonts w:ascii="Garamond" w:hAnsi="Garamond"/>
        </w:rPr>
        <w:t xml:space="preserve"> response to the non-Bayesian critique that arbitrary discriminations of uncertain inputs cannot be made.</w:t>
      </w:r>
      <w:r w:rsidR="00655017">
        <w:rPr>
          <w:rFonts w:ascii="Garamond" w:hAnsi="Garamond"/>
        </w:rPr>
        <w:t xml:space="preserve"> </w:t>
      </w:r>
      <w:r w:rsidR="0068075A">
        <w:rPr>
          <w:rFonts w:ascii="Garamond" w:hAnsi="Garamond"/>
        </w:rPr>
        <w:t xml:space="preserve">RBA agrees with the critique </w:t>
      </w:r>
      <w:r w:rsidR="00A35CD4">
        <w:rPr>
          <w:rFonts w:ascii="Garamond" w:hAnsi="Garamond"/>
        </w:rPr>
        <w:t>yet</w:t>
      </w:r>
      <w:r w:rsidR="0068075A">
        <w:rPr>
          <w:rFonts w:ascii="Garamond" w:hAnsi="Garamond"/>
        </w:rPr>
        <w:t xml:space="preserve"> </w:t>
      </w:r>
      <w:r w:rsidR="00B728A1">
        <w:rPr>
          <w:rFonts w:ascii="Garamond" w:hAnsi="Garamond"/>
        </w:rPr>
        <w:t xml:space="preserve">still </w:t>
      </w:r>
      <w:r w:rsidR="0068075A">
        <w:rPr>
          <w:rFonts w:ascii="Garamond" w:hAnsi="Garamond"/>
        </w:rPr>
        <w:t xml:space="preserve">provides a </w:t>
      </w:r>
      <w:r w:rsidR="008309DB">
        <w:rPr>
          <w:rFonts w:ascii="Garamond" w:hAnsi="Garamond"/>
        </w:rPr>
        <w:t xml:space="preserve">realistic </w:t>
      </w:r>
      <w:r w:rsidR="00D859CA" w:rsidRPr="0039029A">
        <w:rPr>
          <w:rFonts w:ascii="Garamond" w:hAnsi="Garamond"/>
        </w:rPr>
        <w:t xml:space="preserve">foundational system </w:t>
      </w:r>
      <w:r w:rsidR="008309DB">
        <w:rPr>
          <w:rFonts w:ascii="Garamond" w:hAnsi="Garamond"/>
        </w:rPr>
        <w:t>that allows</w:t>
      </w:r>
      <w:r w:rsidR="004B1A24" w:rsidRPr="0039029A">
        <w:rPr>
          <w:rFonts w:ascii="Garamond" w:hAnsi="Garamond"/>
        </w:rPr>
        <w:t xml:space="preserve"> subjective Bayesian</w:t>
      </w:r>
      <w:r w:rsidR="00655017">
        <w:rPr>
          <w:rFonts w:ascii="Garamond" w:hAnsi="Garamond"/>
        </w:rPr>
        <w:t xml:space="preserve"> analysis</w:t>
      </w:r>
      <w:r w:rsidR="004B1A24" w:rsidRPr="0039029A">
        <w:rPr>
          <w:rFonts w:ascii="Garamond" w:hAnsi="Garamond"/>
        </w:rPr>
        <w:t xml:space="preserve"> </w:t>
      </w:r>
      <w:r w:rsidR="0068075A">
        <w:rPr>
          <w:rFonts w:ascii="Garamond" w:hAnsi="Garamond"/>
        </w:rPr>
        <w:t xml:space="preserve">to proceed. </w:t>
      </w:r>
      <w:r w:rsidR="004B1A24" w:rsidRPr="0039029A">
        <w:rPr>
          <w:rFonts w:ascii="Garamond" w:hAnsi="Garamond"/>
        </w:rPr>
        <w:t xml:space="preserve">Practically, </w:t>
      </w:r>
      <w:r w:rsidR="00D11A0A">
        <w:rPr>
          <w:rFonts w:ascii="Garamond" w:hAnsi="Garamond"/>
        </w:rPr>
        <w:t>RBA is important because it</w:t>
      </w:r>
      <w:r w:rsidR="00887157" w:rsidRPr="0039029A">
        <w:rPr>
          <w:rFonts w:ascii="Garamond" w:hAnsi="Garamond"/>
        </w:rPr>
        <w:t xml:space="preserve"> </w:t>
      </w:r>
      <w:r w:rsidR="00D11A0A">
        <w:rPr>
          <w:rFonts w:ascii="Garamond" w:hAnsi="Garamond"/>
        </w:rPr>
        <w:t>tells you</w:t>
      </w:r>
      <w:r w:rsidR="00887157" w:rsidRPr="0039029A">
        <w:rPr>
          <w:rFonts w:ascii="Garamond" w:hAnsi="Garamond"/>
        </w:rPr>
        <w:t xml:space="preserve"> the degree of elicitation that is necessary, and what to elicit. For example, RBA can tell you that further elicitation is unnecessary if </w:t>
      </w:r>
      <w:r w:rsidR="00D76D0F">
        <w:rPr>
          <w:rFonts w:ascii="Garamond" w:hAnsi="Garamond"/>
        </w:rPr>
        <w:t xml:space="preserve">the </w:t>
      </w:r>
      <w:r w:rsidR="00887157" w:rsidRPr="0039029A">
        <w:rPr>
          <w:rFonts w:ascii="Garamond" w:hAnsi="Garamond"/>
        </w:rPr>
        <w:t>corresponding range of Bayesian a</w:t>
      </w:r>
      <w:r w:rsidR="00D76D0F">
        <w:rPr>
          <w:rFonts w:ascii="Garamond" w:hAnsi="Garamond"/>
        </w:rPr>
        <w:t>nswers is appropriate, or that</w:t>
      </w:r>
      <w:r w:rsidR="00887157" w:rsidRPr="0039029A">
        <w:rPr>
          <w:rFonts w:ascii="Garamond" w:hAnsi="Garamond"/>
        </w:rPr>
        <w:t xml:space="preserve"> only a couple parameters </w:t>
      </w:r>
      <w:r w:rsidR="00D76D0F">
        <w:rPr>
          <w:rFonts w:ascii="Garamond" w:hAnsi="Garamond"/>
        </w:rPr>
        <w:t>out of</w:t>
      </w:r>
      <w:r w:rsidR="00887157" w:rsidRPr="0039029A">
        <w:rPr>
          <w:rFonts w:ascii="Garamond" w:hAnsi="Garamond"/>
        </w:rPr>
        <w:t xml:space="preserve"> many </w:t>
      </w:r>
      <w:r w:rsidR="00B33AF7">
        <w:rPr>
          <w:rFonts w:ascii="Garamond" w:hAnsi="Garamond"/>
        </w:rPr>
        <w:t>influence</w:t>
      </w:r>
      <w:r w:rsidR="00887157" w:rsidRPr="0039029A">
        <w:rPr>
          <w:rFonts w:ascii="Garamond" w:hAnsi="Garamond"/>
        </w:rPr>
        <w:t xml:space="preserve"> the </w:t>
      </w:r>
      <w:r w:rsidR="00D76D0F">
        <w:rPr>
          <w:rFonts w:ascii="Garamond" w:hAnsi="Garamond"/>
        </w:rPr>
        <w:t>result and require elicitation.</w:t>
      </w:r>
      <w:r w:rsidR="00887157" w:rsidRPr="0039029A">
        <w:rPr>
          <w:rFonts w:ascii="Garamond" w:hAnsi="Garamond"/>
        </w:rPr>
        <w:t xml:space="preserve"> RBA also alleviates fear of </w:t>
      </w:r>
      <w:r w:rsidR="00B33AF7">
        <w:rPr>
          <w:rFonts w:ascii="Garamond" w:hAnsi="Garamond"/>
        </w:rPr>
        <w:t xml:space="preserve">the </w:t>
      </w:r>
      <w:r w:rsidR="00887157" w:rsidRPr="0039029A">
        <w:rPr>
          <w:rFonts w:ascii="Garamond" w:hAnsi="Garamond"/>
        </w:rPr>
        <w:t xml:space="preserve">subjective prior as it reflects elicitor’s uncertainty.  </w:t>
      </w:r>
      <w:r w:rsidR="00B33AF7">
        <w:rPr>
          <w:rFonts w:ascii="Garamond" w:hAnsi="Garamond"/>
        </w:rPr>
        <w:t>In addition, it has</w:t>
      </w:r>
      <w:r w:rsidR="00887157" w:rsidRPr="0039029A">
        <w:rPr>
          <w:rFonts w:ascii="Garamond" w:hAnsi="Garamond"/>
        </w:rPr>
        <w:t xml:space="preserve"> been shown that when Bayes procedures are robust they have “excellent frequentist properties.”</w:t>
      </w:r>
      <w:r w:rsidR="00C2335F" w:rsidRPr="0039029A">
        <w:rPr>
          <w:rFonts w:ascii="Garamond" w:hAnsi="Garamond"/>
        </w:rPr>
        <w:t xml:space="preserve"> Section 1 gives two examples that show RBA’s ability to provide a better interpretation to classical p-values, and fix problematic </w:t>
      </w:r>
      <w:proofErr w:type="spellStart"/>
      <w:r w:rsidR="00C2335F" w:rsidRPr="0039029A">
        <w:rPr>
          <w:rFonts w:ascii="Garamond" w:hAnsi="Garamond"/>
        </w:rPr>
        <w:t>Neyman</w:t>
      </w:r>
      <w:proofErr w:type="spellEnd"/>
      <w:r w:rsidR="00C2335F" w:rsidRPr="0039029A">
        <w:rPr>
          <w:rFonts w:ascii="Garamond" w:hAnsi="Garamond"/>
        </w:rPr>
        <w:t xml:space="preserve">-Pearson tests. </w:t>
      </w:r>
    </w:p>
    <w:p w14:paraId="7F1D6FF9" w14:textId="77777777" w:rsidR="002B2AD6" w:rsidRPr="0039029A" w:rsidRDefault="002B2AD6" w:rsidP="00D859CA">
      <w:pPr>
        <w:ind w:firstLine="720"/>
        <w:rPr>
          <w:rFonts w:ascii="Garamond" w:hAnsi="Garamond"/>
        </w:rPr>
      </w:pPr>
    </w:p>
    <w:p w14:paraId="275DA649" w14:textId="2E70D4CD" w:rsidR="002B2AD6" w:rsidRPr="0039029A" w:rsidRDefault="00C2335F" w:rsidP="00F420A5">
      <w:pPr>
        <w:ind w:firstLine="720"/>
        <w:rPr>
          <w:rFonts w:ascii="Garamond" w:hAnsi="Garamond"/>
        </w:rPr>
      </w:pPr>
      <w:r w:rsidRPr="0039029A">
        <w:rPr>
          <w:rFonts w:ascii="Garamond" w:hAnsi="Garamond"/>
        </w:rPr>
        <w:t>Section 2</w:t>
      </w:r>
      <w:r w:rsidR="002B2AD6" w:rsidRPr="0039029A">
        <w:rPr>
          <w:rFonts w:ascii="Garamond" w:hAnsi="Garamond"/>
        </w:rPr>
        <w:t xml:space="preserve"> discusses the choice of </w:t>
      </w:r>
      <w:r w:rsidR="002C7C3F" w:rsidRPr="0039029A">
        <w:rPr>
          <w:rFonts w:ascii="Garamond" w:hAnsi="Garamond"/>
        </w:rPr>
        <w:t>robust</w:t>
      </w:r>
      <w:r w:rsidR="002B2AD6" w:rsidRPr="0039029A">
        <w:rPr>
          <w:rFonts w:ascii="Garamond" w:hAnsi="Garamond"/>
        </w:rPr>
        <w:t xml:space="preserve"> statistic</w:t>
      </w:r>
      <w:r w:rsidR="00547E07">
        <w:rPr>
          <w:rFonts w:ascii="Garamond" w:hAnsi="Garamond"/>
        </w:rPr>
        <w:t>al model/</w:t>
      </w:r>
      <w:r w:rsidR="002C7C3F" w:rsidRPr="0039029A">
        <w:rPr>
          <w:rFonts w:ascii="Garamond" w:hAnsi="Garamond"/>
        </w:rPr>
        <w:t>prior distributions. An example</w:t>
      </w:r>
      <w:r w:rsidR="00547E07">
        <w:rPr>
          <w:rFonts w:ascii="Garamond" w:hAnsi="Garamond"/>
        </w:rPr>
        <w:t xml:space="preserve"> is given showing that prior/</w:t>
      </w:r>
      <w:r w:rsidR="002C7C3F" w:rsidRPr="0039029A">
        <w:rPr>
          <w:rFonts w:ascii="Garamond" w:hAnsi="Garamond"/>
        </w:rPr>
        <w:t xml:space="preserve">model choice is often arbitrary and standard choices (e.g. exponential family model and conjugate priors) are </w:t>
      </w:r>
      <w:r w:rsidR="00E92B2C">
        <w:rPr>
          <w:rFonts w:ascii="Garamond" w:hAnsi="Garamond"/>
        </w:rPr>
        <w:t>typically</w:t>
      </w:r>
      <w:r w:rsidR="002C7C3F" w:rsidRPr="0039029A">
        <w:rPr>
          <w:rFonts w:ascii="Garamond" w:hAnsi="Garamond"/>
        </w:rPr>
        <w:t xml:space="preserve"> non-robust. Flat tailed priors are </w:t>
      </w:r>
      <w:r w:rsidR="006C1D10">
        <w:rPr>
          <w:rFonts w:ascii="Garamond" w:hAnsi="Garamond"/>
        </w:rPr>
        <w:t>more robust than standard choices</w:t>
      </w:r>
      <w:r w:rsidR="002C7C3F" w:rsidRPr="0039029A">
        <w:rPr>
          <w:rFonts w:ascii="Garamond" w:hAnsi="Garamond"/>
        </w:rPr>
        <w:t xml:space="preserve">.  An example is given showing that replacing a normal model and prior with a </w:t>
      </w:r>
      <w:r w:rsidR="00066439">
        <w:rPr>
          <w:rFonts w:ascii="Garamond" w:hAnsi="Garamond"/>
        </w:rPr>
        <w:t>t-distribution and Cauchy distribution</w:t>
      </w:r>
      <w:r w:rsidR="008B51B9">
        <w:rPr>
          <w:rFonts w:ascii="Garamond" w:hAnsi="Garamond"/>
        </w:rPr>
        <w:t xml:space="preserve"> is more robust because</w:t>
      </w:r>
      <w:r w:rsidR="002C7C3F" w:rsidRPr="0039029A">
        <w:rPr>
          <w:rFonts w:ascii="Garamond" w:hAnsi="Garamond"/>
        </w:rPr>
        <w:t xml:space="preserve"> the </w:t>
      </w:r>
      <w:r w:rsidR="00193DAB">
        <w:rPr>
          <w:rFonts w:ascii="Garamond" w:hAnsi="Garamond"/>
        </w:rPr>
        <w:t>new</w:t>
      </w:r>
      <w:r w:rsidR="002C7C3F" w:rsidRPr="0039029A">
        <w:rPr>
          <w:rFonts w:ascii="Garamond" w:hAnsi="Garamond"/>
        </w:rPr>
        <w:t xml:space="preserve"> distributions have thicker tails. A similar idea can apply to multivariate models and priors. Non-informative priors also yield robust answers</w:t>
      </w:r>
      <w:r w:rsidR="00F420A5" w:rsidRPr="0039029A">
        <w:rPr>
          <w:rFonts w:ascii="Garamond" w:hAnsi="Garamond"/>
        </w:rPr>
        <w:t xml:space="preserve"> since they are designed to have minimal influence on the answer. </w:t>
      </w:r>
      <w:r w:rsidR="002C7C3F" w:rsidRPr="0039029A">
        <w:rPr>
          <w:rFonts w:ascii="Garamond" w:hAnsi="Garamond"/>
        </w:rPr>
        <w:t xml:space="preserve"> </w:t>
      </w:r>
      <w:r w:rsidR="00F420A5" w:rsidRPr="0039029A">
        <w:rPr>
          <w:rFonts w:ascii="Garamond" w:hAnsi="Garamond"/>
        </w:rPr>
        <w:t xml:space="preserve">Likewise, partially informative priors are often robust and </w:t>
      </w:r>
      <w:r w:rsidR="0077188D">
        <w:rPr>
          <w:rFonts w:ascii="Garamond" w:hAnsi="Garamond"/>
        </w:rPr>
        <w:t xml:space="preserve">can be </w:t>
      </w:r>
      <w:r w:rsidR="00F420A5" w:rsidRPr="0039029A">
        <w:rPr>
          <w:rFonts w:ascii="Garamond" w:hAnsi="Garamond"/>
        </w:rPr>
        <w:t xml:space="preserve">setup in two ways: parameters of interest are elicited while nuisance parameters are ignored, or prior/model set up with certain features </w:t>
      </w:r>
      <w:r w:rsidR="008B51B9">
        <w:rPr>
          <w:rFonts w:ascii="Garamond" w:hAnsi="Garamond"/>
        </w:rPr>
        <w:t>and</w:t>
      </w:r>
      <w:r w:rsidR="00F420A5" w:rsidRPr="0039029A">
        <w:rPr>
          <w:rFonts w:ascii="Garamond" w:hAnsi="Garamond"/>
        </w:rPr>
        <w:t xml:space="preserve"> then prior/model is chosen which maximizes entropy </w:t>
      </w:r>
      <w:r w:rsidR="0077188D">
        <w:rPr>
          <w:rFonts w:ascii="Garamond" w:hAnsi="Garamond"/>
        </w:rPr>
        <w:t xml:space="preserve">(subject </w:t>
      </w:r>
      <w:r w:rsidR="00F420A5" w:rsidRPr="0039029A">
        <w:rPr>
          <w:rFonts w:ascii="Garamond" w:hAnsi="Garamond"/>
        </w:rPr>
        <w:t>to constraints</w:t>
      </w:r>
      <w:r w:rsidR="0077188D">
        <w:rPr>
          <w:rFonts w:ascii="Garamond" w:hAnsi="Garamond"/>
        </w:rPr>
        <w:t>)</w:t>
      </w:r>
      <w:r w:rsidR="00F420A5" w:rsidRPr="0039029A">
        <w:rPr>
          <w:rFonts w:ascii="Garamond" w:hAnsi="Garamond"/>
        </w:rPr>
        <w:t xml:space="preserve">.  </w:t>
      </w:r>
      <w:r w:rsidR="00092352" w:rsidRPr="0039029A">
        <w:rPr>
          <w:rFonts w:ascii="Garamond" w:hAnsi="Garamond"/>
        </w:rPr>
        <w:t>Finally, Bayesian non-</w:t>
      </w:r>
      <w:proofErr w:type="spellStart"/>
      <w:r w:rsidR="00092352" w:rsidRPr="0039029A">
        <w:rPr>
          <w:rFonts w:ascii="Garamond" w:hAnsi="Garamond"/>
        </w:rPr>
        <w:t>parametrics</w:t>
      </w:r>
      <w:proofErr w:type="spellEnd"/>
      <w:r w:rsidR="00092352" w:rsidRPr="0039029A">
        <w:rPr>
          <w:rFonts w:ascii="Garamond" w:hAnsi="Garamond"/>
        </w:rPr>
        <w:t xml:space="preserve"> are an approach to automatic robustness as they automatically adapt to </w:t>
      </w:r>
      <w:r w:rsidR="00B728A1">
        <w:rPr>
          <w:rFonts w:ascii="Garamond" w:hAnsi="Garamond"/>
        </w:rPr>
        <w:t xml:space="preserve">the </w:t>
      </w:r>
      <w:r w:rsidR="00092352" w:rsidRPr="0039029A">
        <w:rPr>
          <w:rFonts w:ascii="Garamond" w:hAnsi="Garamond"/>
        </w:rPr>
        <w:t xml:space="preserve">true model (e.g. </w:t>
      </w:r>
      <w:proofErr w:type="spellStart"/>
      <w:r w:rsidR="00092352" w:rsidRPr="0039029A">
        <w:rPr>
          <w:rFonts w:ascii="Garamond" w:hAnsi="Garamond"/>
        </w:rPr>
        <w:t>Dirichlet</w:t>
      </w:r>
      <w:proofErr w:type="spellEnd"/>
      <w:r w:rsidR="00092352" w:rsidRPr="0039029A">
        <w:rPr>
          <w:rFonts w:ascii="Garamond" w:hAnsi="Garamond"/>
        </w:rPr>
        <w:t xml:space="preserve"> process prior or Gaussian process priors with smoothing splines). Caution </w:t>
      </w:r>
      <w:r w:rsidR="00353776" w:rsidRPr="0039029A">
        <w:rPr>
          <w:rFonts w:ascii="Garamond" w:hAnsi="Garamond"/>
        </w:rPr>
        <w:t xml:space="preserve">is advised </w:t>
      </w:r>
      <w:r w:rsidR="00E16B7B">
        <w:rPr>
          <w:rFonts w:ascii="Garamond" w:hAnsi="Garamond"/>
        </w:rPr>
        <w:t>with non-parametric prior/models</w:t>
      </w:r>
      <w:r w:rsidR="00092352" w:rsidRPr="0039029A">
        <w:rPr>
          <w:rFonts w:ascii="Garamond" w:hAnsi="Garamond"/>
        </w:rPr>
        <w:t xml:space="preserve"> because as </w:t>
      </w:r>
      <w:r w:rsidR="00E16B7B">
        <w:rPr>
          <w:rFonts w:ascii="Garamond" w:hAnsi="Garamond"/>
        </w:rPr>
        <w:t xml:space="preserve">the </w:t>
      </w:r>
      <w:r w:rsidR="00092352" w:rsidRPr="0039029A">
        <w:rPr>
          <w:rFonts w:ascii="Garamond" w:hAnsi="Garamond"/>
        </w:rPr>
        <w:t>sample size goes to infinity the estimates of quantities doesn’t nece</w:t>
      </w:r>
      <w:r w:rsidR="00353776" w:rsidRPr="0039029A">
        <w:rPr>
          <w:rFonts w:ascii="Garamond" w:hAnsi="Garamond"/>
        </w:rPr>
        <w:t>s</w:t>
      </w:r>
      <w:r w:rsidR="007C2091">
        <w:rPr>
          <w:rFonts w:ascii="Garamond" w:hAnsi="Garamond"/>
        </w:rPr>
        <w:t>sarily convert to true values (e</w:t>
      </w:r>
      <w:r w:rsidR="00353776" w:rsidRPr="0039029A">
        <w:rPr>
          <w:rFonts w:ascii="Garamond" w:hAnsi="Garamond"/>
        </w:rPr>
        <w:t xml:space="preserve">xample 4 in paper). </w:t>
      </w:r>
    </w:p>
    <w:p w14:paraId="4DDFD7AA" w14:textId="77777777" w:rsidR="00353776" w:rsidRPr="0039029A" w:rsidRDefault="00353776" w:rsidP="00F420A5">
      <w:pPr>
        <w:ind w:firstLine="720"/>
        <w:rPr>
          <w:rFonts w:ascii="Garamond" w:hAnsi="Garamond"/>
        </w:rPr>
      </w:pPr>
    </w:p>
    <w:p w14:paraId="29386ABD" w14:textId="12B35E66" w:rsidR="005B2933" w:rsidRPr="0039029A" w:rsidRDefault="00424BA2" w:rsidP="005B2933">
      <w:pPr>
        <w:ind w:firstLine="720"/>
        <w:rPr>
          <w:rFonts w:ascii="Garamond" w:hAnsi="Garamond"/>
        </w:rPr>
      </w:pPr>
      <w:r>
        <w:rPr>
          <w:rFonts w:ascii="Garamond" w:hAnsi="Garamond"/>
        </w:rPr>
        <w:t>Section 3 discusses diagnostics. The goal of diagnostics is t</w:t>
      </w:r>
      <w:r w:rsidR="00353776" w:rsidRPr="0039029A">
        <w:rPr>
          <w:rFonts w:ascii="Garamond" w:hAnsi="Garamond"/>
        </w:rPr>
        <w:t xml:space="preserve">o detect if robustness </w:t>
      </w:r>
      <w:r w:rsidR="00FA7928">
        <w:rPr>
          <w:rFonts w:ascii="Garamond" w:hAnsi="Garamond"/>
        </w:rPr>
        <w:t xml:space="preserve">problems </w:t>
      </w:r>
      <w:r w:rsidR="00353776" w:rsidRPr="0039029A">
        <w:rPr>
          <w:rFonts w:ascii="Garamond" w:hAnsi="Garamond"/>
        </w:rPr>
        <w:t>exist</w:t>
      </w:r>
      <w:r>
        <w:rPr>
          <w:rFonts w:ascii="Garamond" w:hAnsi="Garamond"/>
        </w:rPr>
        <w:t>s and, if so, where the difficulty lies</w:t>
      </w:r>
      <w:r w:rsidR="00353776" w:rsidRPr="0039029A">
        <w:rPr>
          <w:rFonts w:ascii="Garamond" w:hAnsi="Garamond"/>
        </w:rPr>
        <w:t xml:space="preserve">.  </w:t>
      </w:r>
      <w:r w:rsidR="00CD65F0" w:rsidRPr="0039029A">
        <w:rPr>
          <w:rFonts w:ascii="Garamond" w:hAnsi="Garamond"/>
        </w:rPr>
        <w:t xml:space="preserve">Diagnostics are typically based on utilization of </w:t>
      </w:r>
      <m:oMath>
        <m:r>
          <w:rPr>
            <w:rFonts w:ascii="Cambria Math" w:hAnsi="Cambria Math"/>
          </w:rPr>
          <m:t>m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π, f)</m:t>
        </m:r>
      </m:oMath>
      <w:r w:rsidR="00CD65F0" w:rsidRPr="0039029A">
        <w:rPr>
          <w:rFonts w:ascii="Garamond" w:hAnsi="Garamond"/>
        </w:rPr>
        <w:t xml:space="preserve">. The paper does not go into depth around diagnostics but provides references to </w:t>
      </w:r>
      <w:r w:rsidR="00F83C9A">
        <w:rPr>
          <w:rFonts w:ascii="Garamond" w:hAnsi="Garamond"/>
        </w:rPr>
        <w:t xml:space="preserve">outside </w:t>
      </w:r>
      <w:r w:rsidR="00CD65F0" w:rsidRPr="0039029A">
        <w:rPr>
          <w:rFonts w:ascii="Garamond" w:hAnsi="Garamond"/>
        </w:rPr>
        <w:t xml:space="preserve">papers. </w:t>
      </w:r>
      <w:r w:rsidR="00517324">
        <w:rPr>
          <w:rFonts w:ascii="Garamond" w:hAnsi="Garamond"/>
        </w:rPr>
        <w:t>I</w:t>
      </w:r>
      <w:r w:rsidR="00CD65F0" w:rsidRPr="0039029A">
        <w:rPr>
          <w:rFonts w:ascii="Garamond" w:hAnsi="Garamond"/>
        </w:rPr>
        <w:t>nfluence and sensitivity</w:t>
      </w:r>
      <w:r w:rsidR="00517324">
        <w:rPr>
          <w:rFonts w:ascii="Garamond" w:hAnsi="Garamond"/>
        </w:rPr>
        <w:t xml:space="preserve"> is then discussed, which is when features of model and priors </w:t>
      </w:r>
      <w:r w:rsidR="00CD65F0" w:rsidRPr="0039029A">
        <w:rPr>
          <w:rFonts w:ascii="Garamond" w:hAnsi="Garamond"/>
        </w:rPr>
        <w:t xml:space="preserve">have a large effect on </w:t>
      </w:r>
      <w:r w:rsidR="00517324">
        <w:rPr>
          <w:rFonts w:ascii="Garamond" w:hAnsi="Garamond"/>
        </w:rPr>
        <w:t xml:space="preserve">the </w:t>
      </w:r>
      <w:r w:rsidR="00CD65F0" w:rsidRPr="0039029A">
        <w:rPr>
          <w:rFonts w:ascii="Garamond" w:hAnsi="Garamond"/>
        </w:rPr>
        <w:t xml:space="preserve">Bayesian answer. </w:t>
      </w:r>
      <w:r w:rsidR="005B2933" w:rsidRPr="0039029A">
        <w:rPr>
          <w:rFonts w:ascii="Garamond" w:hAnsi="Garamond"/>
        </w:rPr>
        <w:t xml:space="preserve">A current approach to sensitivity is to consider functional derivatives of the Bayes operator </w:t>
      </w:r>
      <w:proofErr w:type="gramStart"/>
      <m:oMath>
        <m:r>
          <w:rPr>
            <w:rFonts w:ascii="Cambria Math" w:hAnsi="Cambria Math"/>
          </w:rPr>
          <m:t>ψ(</m:t>
        </m:r>
        <w:proofErr w:type="gramEnd"/>
        <m:r>
          <w:rPr>
            <w:rFonts w:ascii="Cambria Math" w:hAnsi="Cambria Math"/>
          </w:rPr>
          <m:t>π, f)</m:t>
        </m:r>
      </m:oMath>
      <w:r w:rsidR="005B2933" w:rsidRPr="0039029A">
        <w:rPr>
          <w:rFonts w:ascii="Garamond" w:hAnsi="Garamond"/>
        </w:rPr>
        <w:t xml:space="preserve"> with respect to </w:t>
      </w:r>
      <m:oMath>
        <m:r>
          <w:rPr>
            <w:rFonts w:ascii="Cambria Math" w:hAnsi="Cambria Math"/>
          </w:rPr>
          <m:t>π</m:t>
        </m:r>
      </m:oMath>
      <w:r w:rsidR="005B2933" w:rsidRPr="0039029A">
        <w:rPr>
          <w:rFonts w:ascii="Garamond" w:hAnsi="Garamond"/>
        </w:rPr>
        <w:t xml:space="preserve">. These derivatives, evaluated at a base prior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B2933" w:rsidRPr="0039029A">
        <w:rPr>
          <w:rFonts w:ascii="Garamond" w:hAnsi="Garamond"/>
        </w:rPr>
        <w:t xml:space="preserve"> and in “direction” g, indicate how sensitive </w:t>
      </w:r>
      <w:proofErr w:type="gramStart"/>
      <m:oMath>
        <m:r>
          <w:rPr>
            <w:rFonts w:ascii="Cambria Math" w:hAnsi="Cambria Math"/>
          </w:rPr>
          <m:t>ψ(</m:t>
        </m:r>
        <w:proofErr w:type="gramEnd"/>
        <m:r>
          <w:rPr>
            <w:rFonts w:ascii="Cambria Math" w:hAnsi="Cambria Math"/>
          </w:rPr>
          <m:t>π, f)</m:t>
        </m:r>
      </m:oMath>
      <w:r w:rsidR="005B2933" w:rsidRPr="0039029A">
        <w:rPr>
          <w:rFonts w:ascii="Garamond" w:hAnsi="Garamond"/>
        </w:rPr>
        <w:t xml:space="preserve"> is to local changes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B2933" w:rsidRPr="0039029A">
        <w:rPr>
          <w:rFonts w:ascii="Garamond" w:hAnsi="Garamond"/>
        </w:rPr>
        <w:t xml:space="preserve">. References are provided to other papers for more information.  </w:t>
      </w:r>
    </w:p>
    <w:p w14:paraId="73DCD141" w14:textId="77777777" w:rsidR="005B2933" w:rsidRPr="0039029A" w:rsidRDefault="005B2933" w:rsidP="005B2933">
      <w:pPr>
        <w:rPr>
          <w:rFonts w:ascii="Garamond" w:hAnsi="Garamond"/>
        </w:rPr>
      </w:pPr>
      <w:r w:rsidRPr="0039029A">
        <w:rPr>
          <w:rFonts w:ascii="Garamond" w:hAnsi="Garamond"/>
        </w:rPr>
        <w:tab/>
      </w:r>
    </w:p>
    <w:p w14:paraId="2C771EC7" w14:textId="049127D6" w:rsidR="00A619D5" w:rsidRDefault="005B2933" w:rsidP="0039029A">
      <w:pPr>
        <w:rPr>
          <w:rFonts w:ascii="Garamond" w:hAnsi="Garamond"/>
        </w:rPr>
      </w:pPr>
      <w:r w:rsidRPr="0039029A">
        <w:rPr>
          <w:rFonts w:ascii="Garamond" w:hAnsi="Garamond"/>
        </w:rPr>
        <w:t xml:space="preserve"> </w:t>
      </w:r>
      <w:r w:rsidR="000F690F">
        <w:rPr>
          <w:rFonts w:ascii="Garamond" w:hAnsi="Garamond"/>
        </w:rPr>
        <w:tab/>
      </w:r>
      <w:r w:rsidRPr="0039029A">
        <w:rPr>
          <w:rFonts w:ascii="Garamond" w:hAnsi="Garamond"/>
        </w:rPr>
        <w:t xml:space="preserve">Section 4 </w:t>
      </w:r>
      <w:r w:rsidR="00C77B8C" w:rsidRPr="0039029A">
        <w:rPr>
          <w:rFonts w:ascii="Garamond" w:hAnsi="Garamond"/>
        </w:rPr>
        <w:t xml:space="preserve">discusses how to calculate </w:t>
      </w:r>
      <w:r w:rsidR="0039029A">
        <w:rPr>
          <w:rFonts w:ascii="Garamond" w:hAnsi="Garamond"/>
        </w:rPr>
        <w:t xml:space="preserve">global robustness, which assumes </w:t>
      </w:r>
      <m:oMath>
        <m:r>
          <w:rPr>
            <w:rFonts w:ascii="Cambria Math" w:hAnsi="Cambria Math"/>
          </w:rPr>
          <m:t>f∈F</m:t>
        </m:r>
      </m:oMath>
      <w:r w:rsidR="002700DF">
        <w:rPr>
          <w:rFonts w:ascii="Garamond" w:hAnsi="Garamond"/>
        </w:rPr>
        <w:t xml:space="preserve">, </w:t>
      </w:r>
      <w:proofErr w:type="gramStart"/>
      <m:oMath>
        <m:r>
          <w:rPr>
            <w:rFonts w:ascii="Cambria Math" w:hAnsi="Cambria Math"/>
          </w:rPr>
          <m:t>π(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2700DF">
        <w:rPr>
          <w:rFonts w:ascii="Garamond" w:hAnsi="Garamond"/>
        </w:rPr>
        <w:t>,</w:t>
      </w:r>
      <w:r w:rsidR="0039029A" w:rsidRPr="0039029A">
        <w:rPr>
          <w:rFonts w:ascii="Garamond" w:hAnsi="Garamond"/>
        </w:rPr>
        <w:t xml:space="preserve"> </w:t>
      </w:r>
      <w:r w:rsidR="0039029A">
        <w:rPr>
          <w:rFonts w:ascii="Garamond" w:hAnsi="Garamond"/>
        </w:rPr>
        <w:t>and</w:t>
      </w:r>
      <w:r w:rsidR="0039029A" w:rsidRPr="0039029A">
        <w:rPr>
          <w:rFonts w:ascii="Garamond" w:hAnsi="Garamond"/>
        </w:rPr>
        <w:t xml:space="preserve"> </w:t>
      </w:r>
      <m:oMath>
        <m:r>
          <w:rPr>
            <w:rFonts w:ascii="Cambria Math" w:hAnsi="Cambria Math"/>
          </w:rPr>
          <m:t>F</m:t>
        </m:r>
      </m:oMath>
      <w:r w:rsidR="0039029A" w:rsidRPr="0039029A">
        <w:rPr>
          <w:rFonts w:ascii="Garamond" w:hAnsi="Garamond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9029A" w:rsidRPr="0039029A">
        <w:rPr>
          <w:rFonts w:ascii="Garamond" w:hAnsi="Garamond"/>
        </w:rPr>
        <w:t xml:space="preserve"> are classes of densities.</w:t>
      </w:r>
      <w:r w:rsidR="0039029A">
        <w:rPr>
          <w:rFonts w:ascii="Garamond" w:hAnsi="Garamond"/>
        </w:rPr>
        <w:t xml:space="preserve"> Global robustness is reported as </w:t>
      </w:r>
      <w:r w:rsidR="005A4EA8">
        <w:rPr>
          <w:rFonts w:ascii="Garamond" w:hAnsi="Garamond"/>
        </w:rPr>
        <w:t>a</w:t>
      </w:r>
      <w:r w:rsidR="0039029A">
        <w:rPr>
          <w:rFonts w:ascii="Garamond" w:hAnsi="Garamond"/>
        </w:rPr>
        <w:t xml:space="preserve"> range of values, </w:t>
      </w:r>
      <m:oMath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ψ</m:t>
            </m:r>
          </m:e>
        </m:bar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r>
          <w:rPr>
            <w:rFonts w:ascii="Cambria Math" w:hAnsi="Cambria Math"/>
          </w:rPr>
          <m:t>)</m:t>
        </m:r>
      </m:oMath>
      <w:r w:rsidR="00CF2304">
        <w:rPr>
          <w:rFonts w:ascii="Garamond" w:hAnsi="Garamond"/>
        </w:rPr>
        <w:t xml:space="preserve">, </w:t>
      </w:r>
      <w:r w:rsidR="0039029A">
        <w:rPr>
          <w:rFonts w:ascii="Garamond" w:hAnsi="Garamond"/>
        </w:rPr>
        <w:t xml:space="preserve">where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ψ</m:t>
            </m:r>
          </m:e>
        </m:bar>
        <m:r>
          <w:rPr>
            <w:rFonts w:ascii="Cambria Math" w:hAnsi="Cambria Math"/>
          </w:rPr>
          <m:t>=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inf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f∈F</m:t>
            </m:r>
          </m:den>
        </m:f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inf</m:t>
            </m:r>
          </m:num>
          <m:den>
            <m:r>
              <w:rPr>
                <w:rFonts w:ascii="Cambria Math" w:hAnsi="Cambria Math"/>
              </w:rPr>
              <m:t>π∈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π, f</m:t>
            </m:r>
          </m:e>
        </m:d>
        <m:r>
          <w:rPr>
            <w:rFonts w:ascii="Cambria Math" w:hAnsi="Cambria Math"/>
          </w:rPr>
          <m:t xml:space="preserve"> </m:t>
        </m:r>
      </m:oMath>
      <w:r w:rsidR="0039029A">
        <w:rPr>
          <w:rFonts w:ascii="Garamond" w:hAnsi="Garamond"/>
        </w:rPr>
        <w:t xml:space="preserve">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r>
          <w:rPr>
            <w:rFonts w:ascii="Cambria Math" w:hAnsi="Cambria Math"/>
          </w:rPr>
          <m:t>=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sup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f∈F</m:t>
            </m:r>
          </m:den>
        </m:f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sup</m:t>
            </m:r>
          </m:num>
          <m:den>
            <m:r>
              <w:rPr>
                <w:rFonts w:ascii="Cambria Math" w:hAnsi="Cambria Math"/>
              </w:rPr>
              <m:t>π∈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π, f</m:t>
            </m:r>
          </m:e>
        </m:d>
      </m:oMath>
      <w:r w:rsidR="0039029A">
        <w:rPr>
          <w:rFonts w:ascii="Garamond" w:hAnsi="Garamond"/>
        </w:rPr>
        <w:t xml:space="preserve">. </w:t>
      </w:r>
      <w:r w:rsidR="000F690F">
        <w:rPr>
          <w:rFonts w:ascii="Garamond" w:hAnsi="Garamond"/>
        </w:rPr>
        <w:t xml:space="preserve">If </w:t>
      </w:r>
      <w:r w:rsidR="00E55E05">
        <w:rPr>
          <w:rFonts w:ascii="Garamond" w:hAnsi="Garamond"/>
        </w:rPr>
        <w:t xml:space="preserve">the </w:t>
      </w:r>
      <w:r w:rsidR="000F690F">
        <w:rPr>
          <w:rFonts w:ascii="Garamond" w:hAnsi="Garamond"/>
        </w:rPr>
        <w:t xml:space="preserve">range is small enough, </w:t>
      </w:r>
      <w:r w:rsidR="00417F2F">
        <w:rPr>
          <w:rFonts w:ascii="Garamond" w:hAnsi="Garamond"/>
        </w:rPr>
        <w:t>you can stop</w:t>
      </w:r>
      <w:r w:rsidR="000F690F">
        <w:rPr>
          <w:rFonts w:ascii="Garamond" w:hAnsi="Garamond"/>
        </w:rPr>
        <w:t xml:space="preserve">. If not, further elicitation of model / prior is required. </w:t>
      </w:r>
      <m:oMath>
        <m:r>
          <w:rPr>
            <w:rFonts w:ascii="Cambria Math" w:hAnsi="Cambria Math"/>
          </w:rPr>
          <m:t>F</m:t>
        </m:r>
      </m:oMath>
      <w:r w:rsidR="000422D5">
        <w:rPr>
          <w:rFonts w:ascii="Garamond" w:hAnsi="Garamond"/>
        </w:rPr>
        <w:t xml:space="preserve"> </w:t>
      </w:r>
      <w:proofErr w:type="gramStart"/>
      <w:r w:rsidR="0089189A">
        <w:rPr>
          <w:rFonts w:ascii="Garamond" w:hAnsi="Garamond"/>
        </w:rPr>
        <w:t>and</w:t>
      </w:r>
      <w:proofErr w:type="gramEnd"/>
      <w:r w:rsidR="0089189A">
        <w:rPr>
          <w:rFonts w:ascii="Garamond" w:hAnsi="Garamond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89189A">
        <w:rPr>
          <w:rFonts w:ascii="Garamond" w:hAnsi="Garamond"/>
        </w:rPr>
        <w:t xml:space="preserve"> is often defined as </w:t>
      </w:r>
      <w:r w:rsidR="00CC3D56">
        <w:rPr>
          <w:rFonts w:ascii="Garamond" w:hAnsi="Garamond"/>
        </w:rPr>
        <w:t>a parametric density class</w:t>
      </w:r>
      <w:r w:rsidR="000422D5">
        <w:rPr>
          <w:rFonts w:ascii="Garamond" w:hAnsi="Garamond"/>
        </w:rPr>
        <w:t xml:space="preserve">. </w:t>
      </w:r>
      <w:r w:rsidR="0089189A">
        <w:rPr>
          <w:rFonts w:ascii="Garamond" w:hAnsi="Garamond"/>
        </w:rPr>
        <w:t>Parametric classes are attractive be</w:t>
      </w:r>
      <w:r w:rsidR="00826A45">
        <w:rPr>
          <w:rFonts w:ascii="Garamond" w:hAnsi="Garamond"/>
        </w:rPr>
        <w:t xml:space="preserve">cause they are easy to compute </w:t>
      </w:r>
      <w:r w:rsidR="0089189A">
        <w:rPr>
          <w:rFonts w:ascii="Garamond" w:hAnsi="Garamond"/>
        </w:rPr>
        <w:t>and communicate, though may fail to capture realistic possible deviations from</w:t>
      </w:r>
      <w:r w:rsidR="00022603">
        <w:rPr>
          <w:rFonts w:ascii="Garamond" w:hAnsi="Garamond"/>
        </w:rPr>
        <w:t xml:space="preserve"> the</w:t>
      </w:r>
      <w:r w:rsidR="0089189A">
        <w:rPr>
          <w:rFonts w:ascii="Garamond" w:hAnsi="Garamond"/>
        </w:rPr>
        <w:t xml:space="preserve"> base model or prior. </w:t>
      </w:r>
      <w:r w:rsidR="00D930BC">
        <w:rPr>
          <w:rFonts w:ascii="Garamond" w:hAnsi="Garamond"/>
        </w:rPr>
        <w:t>Most</w:t>
      </w:r>
      <w:r w:rsidR="00C35481">
        <w:rPr>
          <w:rFonts w:ascii="Garamond" w:hAnsi="Garamond"/>
        </w:rPr>
        <w:t xml:space="preserve"> RBA </w:t>
      </w:r>
      <w:r w:rsidR="00D930BC">
        <w:rPr>
          <w:rFonts w:ascii="Garamond" w:hAnsi="Garamond"/>
        </w:rPr>
        <w:t>is focused on holding</w:t>
      </w:r>
      <w:r w:rsidR="00C35481">
        <w:rPr>
          <w:rFonts w:ascii="Garamond" w:hAnsi="Garamond"/>
        </w:rPr>
        <w:t xml:space="preserve"> </w:t>
      </w:r>
      <m:oMath>
        <m:r>
          <w:rPr>
            <w:rFonts w:ascii="Cambria Math" w:hAnsi="Cambria Math"/>
          </w:rPr>
          <m:t>F</m:t>
        </m:r>
      </m:oMath>
      <w:r w:rsidR="00C35481">
        <w:rPr>
          <w:rFonts w:ascii="Garamond" w:hAnsi="Garamond"/>
        </w:rPr>
        <w:t xml:space="preserve"> </w:t>
      </w:r>
      <w:r w:rsidR="00D930BC">
        <w:rPr>
          <w:rFonts w:ascii="Garamond" w:hAnsi="Garamond"/>
        </w:rPr>
        <w:t>fixed and setting the class of</w:t>
      </w:r>
      <w:r w:rsidR="00C35481">
        <w:rPr>
          <w:rFonts w:ascii="Garamond" w:hAnsi="Garamond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AA0746">
        <w:rPr>
          <w:rFonts w:ascii="Garamond" w:hAnsi="Garamond"/>
        </w:rPr>
        <w:t xml:space="preserve"> </w:t>
      </w:r>
      <w:r w:rsidR="002840FF">
        <w:rPr>
          <w:rFonts w:ascii="Garamond" w:hAnsi="Garamond"/>
        </w:rPr>
        <w:t>because</w:t>
      </w:r>
      <w:r w:rsidR="00C35481">
        <w:rPr>
          <w:rFonts w:ascii="Garamond" w:hAnsi="Garamond"/>
        </w:rPr>
        <w:t xml:space="preserve"> </w:t>
      </w:r>
      <w:r w:rsidR="00D930BC">
        <w:rPr>
          <w:rFonts w:ascii="Garamond" w:hAnsi="Garamond"/>
        </w:rPr>
        <w:t>the prior is</w:t>
      </w:r>
      <w:r w:rsidR="00246D6F">
        <w:rPr>
          <w:rFonts w:ascii="Garamond" w:hAnsi="Garamond"/>
        </w:rPr>
        <w:t xml:space="preserve"> less </w:t>
      </w:r>
      <w:r w:rsidR="006E310D">
        <w:rPr>
          <w:rFonts w:ascii="Garamond" w:hAnsi="Garamond"/>
        </w:rPr>
        <w:t xml:space="preserve">well </w:t>
      </w:r>
      <w:r w:rsidR="00246D6F">
        <w:rPr>
          <w:rFonts w:ascii="Garamond" w:hAnsi="Garamond"/>
        </w:rPr>
        <w:t>known than</w:t>
      </w:r>
      <w:r w:rsidR="00BE5BFE">
        <w:rPr>
          <w:rFonts w:ascii="Garamond" w:hAnsi="Garamond"/>
        </w:rPr>
        <w:t xml:space="preserve"> the</w:t>
      </w:r>
      <w:r w:rsidR="0099374D">
        <w:rPr>
          <w:rFonts w:ascii="Garamond" w:hAnsi="Garamond"/>
        </w:rPr>
        <w:t xml:space="preserve"> model (</w:t>
      </w:r>
      <w:r w:rsidR="00246D6F">
        <w:rPr>
          <w:rFonts w:ascii="Garamond" w:hAnsi="Garamond"/>
        </w:rPr>
        <w:t>addressing</w:t>
      </w:r>
      <w:r w:rsidR="0099374D">
        <w:rPr>
          <w:rFonts w:ascii="Garamond" w:hAnsi="Garamond"/>
        </w:rPr>
        <w:t xml:space="preserve"> prior uncertainty),</w:t>
      </w:r>
      <w:r w:rsidR="005F0869">
        <w:rPr>
          <w:rFonts w:ascii="Garamond" w:hAnsi="Garamond"/>
        </w:rPr>
        <w:t xml:space="preserve"> </w:t>
      </w:r>
      <w:r w:rsidR="00246D6F">
        <w:rPr>
          <w:rFonts w:ascii="Garamond" w:hAnsi="Garamond"/>
        </w:rPr>
        <w:t xml:space="preserve">and </w:t>
      </w:r>
      <w:r w:rsidR="00E54FCE">
        <w:rPr>
          <w:rFonts w:ascii="Garamond" w:hAnsi="Garamond"/>
        </w:rPr>
        <w:t>it</w:t>
      </w:r>
      <w:r w:rsidR="00D930BC">
        <w:rPr>
          <w:rFonts w:ascii="Garamond" w:hAnsi="Garamond"/>
        </w:rPr>
        <w:t xml:space="preserve"> reflects variety of prior opinions. </w:t>
      </w:r>
      <w:r w:rsidR="00E1550D">
        <w:rPr>
          <w:rFonts w:ascii="Garamond" w:hAnsi="Garamond"/>
        </w:rPr>
        <w:t>The paper suggest four factors when</w:t>
      </w:r>
      <w:r w:rsidR="005F0869">
        <w:rPr>
          <w:rFonts w:ascii="Garamond" w:hAnsi="Garamond"/>
        </w:rPr>
        <w:t xml:space="preserve"> choosing a class of prior</w:t>
      </w:r>
      <w:r w:rsidR="00E1550D">
        <w:rPr>
          <w:rFonts w:ascii="Garamond" w:hAnsi="Garamond"/>
        </w:rPr>
        <w:t xml:space="preserve">: (1) easy to elicit and interpret, (2) computationally as easy as possible, (3) size of class should reflect prior uncertainty or else erroneous conclusions are possible, and (4)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E1550D">
        <w:rPr>
          <w:rFonts w:ascii="Garamond" w:hAnsi="Garamond"/>
        </w:rPr>
        <w:t xml:space="preserve"> should be extendable to higher dimensions. An example is given showing the erroneous conclusions when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E1550D">
        <w:rPr>
          <w:rFonts w:ascii="Garamond" w:hAnsi="Garamond"/>
        </w:rPr>
        <w:t xml:space="preserve"> is too large or too small. </w:t>
      </w:r>
      <w:r w:rsidR="00A619D5">
        <w:rPr>
          <w:rFonts w:ascii="Garamond" w:hAnsi="Garamond"/>
        </w:rPr>
        <w:t xml:space="preserve">Section 4 then discusses the following common classes for priors. </w:t>
      </w:r>
    </w:p>
    <w:p w14:paraId="5C3CC149" w14:textId="77777777" w:rsidR="00A619D5" w:rsidRDefault="00A619D5" w:rsidP="0039029A">
      <w:pPr>
        <w:rPr>
          <w:rFonts w:ascii="Garamond" w:hAnsi="Garamond"/>
        </w:rPr>
      </w:pPr>
    </w:p>
    <w:p w14:paraId="738E7779" w14:textId="56AF4EA7" w:rsidR="005F137F" w:rsidRPr="00D27FDE" w:rsidRDefault="00A619D5" w:rsidP="00D27FDE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Classes of Given Shape or Smoothness: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specified shape or smoothness</m:t>
            </m:r>
          </m:e>
        </m:d>
      </m:oMath>
      <w:r w:rsidRPr="00812317">
        <w:rPr>
          <w:rFonts w:ascii="Garamond" w:hAnsi="Garamond"/>
        </w:rPr>
        <w:t>.</w:t>
      </w:r>
      <w:r w:rsidR="00293AA8" w:rsidRPr="00812317">
        <w:rPr>
          <w:rFonts w:ascii="Garamond" w:hAnsi="Garamond"/>
        </w:rPr>
        <w:t xml:space="preserve"> </w:t>
      </w:r>
      <w:r w:rsidR="008668CB">
        <w:rPr>
          <w:rFonts w:ascii="Garamond" w:hAnsi="Garamond"/>
        </w:rPr>
        <w:t xml:space="preserve">Often used in conjunction with large class that needs to be made smaller.  </w:t>
      </w:r>
    </w:p>
    <w:p w14:paraId="3B8A4449" w14:textId="701BAA9B" w:rsidR="005F137F" w:rsidRPr="00D27FDE" w:rsidRDefault="00A619D5" w:rsidP="005F137F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Moment Class: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specified collection of moments</m:t>
            </m:r>
          </m:e>
        </m:d>
      </m:oMath>
      <w:r w:rsidR="00293AA8">
        <w:rPr>
          <w:rFonts w:ascii="Garamond" w:hAnsi="Garamond"/>
        </w:rPr>
        <w:t>.</w:t>
      </w:r>
      <w:r w:rsidR="008668CB">
        <w:rPr>
          <w:rFonts w:ascii="Garamond" w:hAnsi="Garamond"/>
        </w:rPr>
        <w:t xml:space="preserve"> Difficult to </w:t>
      </w:r>
      <w:proofErr w:type="gramStart"/>
      <w:r w:rsidR="008668CB">
        <w:rPr>
          <w:rFonts w:ascii="Garamond" w:hAnsi="Garamond"/>
        </w:rPr>
        <w:t>elicit</w:t>
      </w:r>
      <w:proofErr w:type="gramEnd"/>
      <w:r w:rsidR="008668CB">
        <w:rPr>
          <w:rFonts w:ascii="Garamond" w:hAnsi="Garamond"/>
        </w:rPr>
        <w:t xml:space="preserve"> and typically</w:t>
      </w:r>
      <w:r w:rsidR="008668CB" w:rsidRPr="008668CB">
        <w:rPr>
          <w:rFonts w:ascii="Garamond" w:hAnsi="Garamond"/>
        </w:rPr>
        <w:t xml:space="preserve"> </w:t>
      </w:r>
      <w:r w:rsidR="008668CB">
        <w:rPr>
          <w:rFonts w:ascii="Garamond" w:hAnsi="Garamond"/>
        </w:rPr>
        <w:t>use</w:t>
      </w:r>
      <w:r w:rsidR="00C81356">
        <w:rPr>
          <w:rFonts w:ascii="Garamond" w:hAnsi="Garamond"/>
        </w:rPr>
        <w:t>d</w:t>
      </w:r>
      <w:r w:rsidR="008668CB">
        <w:rPr>
          <w:rFonts w:ascii="Garamond" w:hAnsi="Garamond"/>
        </w:rPr>
        <w:t xml:space="preserve"> to constrain larger class.</w:t>
      </w:r>
    </w:p>
    <w:p w14:paraId="20F9B18A" w14:textId="57018C8A" w:rsidR="00293AA8" w:rsidRDefault="00293AA8" w:rsidP="00293AA8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293AA8">
        <w:rPr>
          <w:rFonts w:ascii="Garamond" w:hAnsi="Garamond"/>
        </w:rPr>
        <w:t xml:space="preserve">Contamination Class: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={π=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+εq, q∈Q}</m:t>
        </m:r>
      </m:oMath>
      <w:r>
        <w:rPr>
          <w:rFonts w:ascii="Garamond" w:hAnsi="Garamond"/>
        </w:rPr>
        <w:t xml:space="preserve"> w</w:t>
      </w:r>
      <w:r w:rsidRPr="0039029A">
        <w:rPr>
          <w:rFonts w:ascii="Garamond" w:hAnsi="Garamond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029A">
        <w:rPr>
          <w:rFonts w:ascii="Garamond" w:hAnsi="Garamond"/>
        </w:rPr>
        <w:t xml:space="preserve"> is base prior, </w:t>
      </w:r>
      <m:oMath>
        <m:r>
          <w:rPr>
            <w:rFonts w:ascii="Cambria Math" w:hAnsi="Cambria Math"/>
          </w:rPr>
          <m:t>ε</m:t>
        </m:r>
      </m:oMath>
      <w:r w:rsidRPr="0039029A">
        <w:rPr>
          <w:rFonts w:ascii="Garamond" w:hAnsi="Garamond"/>
        </w:rPr>
        <w:t xml:space="preserve"> is perceived possible error in base prior, and Q is the allowed class of contamination.</w:t>
      </w:r>
      <w:r w:rsidR="008668CB">
        <w:rPr>
          <w:rFonts w:ascii="Garamond" w:hAnsi="Garamond"/>
        </w:rPr>
        <w:t xml:space="preserve"> </w:t>
      </w:r>
      <w:r w:rsidR="008668CB" w:rsidRPr="008668CB">
        <w:rPr>
          <w:rFonts w:ascii="Garamond" w:hAnsi="Garamond"/>
        </w:rPr>
        <w:t>Easy to elicit and compute</w:t>
      </w:r>
      <w:r w:rsidR="008668CB">
        <w:rPr>
          <w:rFonts w:ascii="Garamond" w:hAnsi="Garamond"/>
        </w:rPr>
        <w:t>. C</w:t>
      </w:r>
      <w:r w:rsidR="008668CB" w:rsidRPr="008668CB">
        <w:rPr>
          <w:rFonts w:ascii="Garamond" w:hAnsi="Garamond"/>
        </w:rPr>
        <w:t xml:space="preserve">lass can become too big if Q or </w:t>
      </w:r>
      <m:oMath>
        <m:r>
          <w:rPr>
            <w:rFonts w:ascii="Cambria Math" w:hAnsi="Cambria Math"/>
          </w:rPr>
          <m:t>ε</m:t>
        </m:r>
      </m:oMath>
      <w:r w:rsidR="008668CB" w:rsidRPr="008668CB">
        <w:rPr>
          <w:rFonts w:ascii="Garamond" w:hAnsi="Garamond"/>
        </w:rPr>
        <w:t xml:space="preserve"> is appreciable.</w:t>
      </w:r>
    </w:p>
    <w:p w14:paraId="443B6139" w14:textId="77777777" w:rsidR="00C84E22" w:rsidRDefault="00293AA8" w:rsidP="00C84E22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293AA8">
        <w:rPr>
          <w:rFonts w:ascii="Garamond" w:hAnsi="Garamond"/>
        </w:rPr>
        <w:t xml:space="preserve">Density Ratio Class: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={generalized π</m:t>
        </m:r>
        <w:proofErr w:type="gramStart"/>
        <m:r>
          <w:rPr>
            <w:rFonts w:ascii="Cambria Math" w:hAnsi="Cambria Math"/>
          </w:rPr>
          <m:t>:L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≤π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≤U(θ)}</m:t>
        </m:r>
      </m:oMath>
      <w:r w:rsidR="00C84E22">
        <w:rPr>
          <w:rFonts w:ascii="Garamond" w:hAnsi="Garamond"/>
        </w:rPr>
        <w:t xml:space="preserve">. Hard to elicit choice of L and U but simplest to handle computationally. </w:t>
      </w:r>
    </w:p>
    <w:p w14:paraId="7F4ED65F" w14:textId="6791D96D" w:rsidR="00C84E22" w:rsidRPr="00C84E22" w:rsidRDefault="00C84E22" w:rsidP="00C84E22">
      <w:pPr>
        <w:pStyle w:val="ListParagraph"/>
        <w:numPr>
          <w:ilvl w:val="0"/>
          <w:numId w:val="9"/>
        </w:numPr>
        <w:rPr>
          <w:rFonts w:ascii="Garamond" w:hAnsi="Garamond"/>
        </w:rPr>
      </w:pPr>
      <w:proofErr w:type="spellStart"/>
      <w:r w:rsidRPr="00C84E22">
        <w:rPr>
          <w:rFonts w:ascii="Garamond" w:hAnsi="Garamond"/>
        </w:rPr>
        <w:t>Quantile</w:t>
      </w:r>
      <w:proofErr w:type="spellEnd"/>
      <w:r w:rsidRPr="00C84E22">
        <w:rPr>
          <w:rFonts w:ascii="Garamond" w:hAnsi="Garamond"/>
        </w:rPr>
        <w:t xml:space="preserve"> Class: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={π: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(θ∈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w:proofErr w:type="gramStart"/>
        <m:r>
          <w:rPr>
            <w:rFonts w:ascii="Cambria Math" w:hAnsi="Cambria Math"/>
          </w:rPr>
          <m:t>)≤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i=1,…,m}</m:t>
        </m:r>
      </m:oMath>
      <w:r w:rsidR="00A21136">
        <w:rPr>
          <w:rFonts w:ascii="Garamond" w:hAnsi="Garamond"/>
        </w:rPr>
        <w:t xml:space="preserve">. Natural to elicit. </w:t>
      </w:r>
    </w:p>
    <w:p w14:paraId="23E8E254" w14:textId="77777777" w:rsidR="006D58AE" w:rsidRDefault="00A21136" w:rsidP="006D58AE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Mixture Class: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θ|α</m:t>
                    </m:r>
                  </m:e>
                </m:d>
                <w:proofErr w:type="gramStart"/>
                <m:r>
                  <w:rPr>
                    <w:rFonts w:ascii="Cambria Math" w:hAnsi="Cambria Math"/>
                  </w:rPr>
                  <m:t>dG(</m:t>
                </m:r>
                <w:proofErr w:type="gramEnd"/>
                <m:r>
                  <w:rPr>
                    <w:rFonts w:ascii="Cambria Math" w:hAnsi="Cambria Math"/>
                  </w:rPr>
                  <m:t>α</m:t>
                </m:r>
              </m:e>
            </m:nary>
            <m:r>
              <w:rPr>
                <w:rFonts w:ascii="Cambria Math" w:hAnsi="Cambria Math"/>
              </w:rPr>
              <m:t>), G</m:t>
            </m:r>
            <m:r>
              <m:rPr>
                <m:scr m:val="script"/>
              </m:rPr>
              <w:rPr>
                <w:rFonts w:ascii="Cambria Math" w:hAnsi="Cambria Math"/>
              </w:rPr>
              <m:t>∈g</m:t>
            </m:r>
          </m:e>
        </m:d>
      </m:oMath>
      <w:r w:rsidR="00A46F74">
        <w:rPr>
          <w:rFonts w:ascii="Garamond" w:hAnsi="Garamond"/>
        </w:rPr>
        <w:t xml:space="preserve">. Mixtures play prominent role because computationally simple, flexible, not too big, and can be easily used in refinement step of elicitation. </w:t>
      </w:r>
    </w:p>
    <w:p w14:paraId="648855E7" w14:textId="6D19F02D" w:rsidR="006D58AE" w:rsidRPr="006D58AE" w:rsidRDefault="006D58AE" w:rsidP="006D58AE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6D58AE">
        <w:rPr>
          <w:rFonts w:ascii="Garamond" w:hAnsi="Garamond"/>
        </w:rPr>
        <w:t xml:space="preserve">Marginal and Independence Class: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={π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 having the specified marginals}</m:t>
        </m:r>
      </m:oMath>
      <w:r>
        <w:rPr>
          <w:rFonts w:ascii="Garamond" w:hAnsi="Garamond"/>
        </w:rPr>
        <w:t xml:space="preserve">. Typically enormous and often you specify independence and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ascii="Garamond" w:hAnsi="Garamond"/>
        </w:rPr>
        <w:t xml:space="preserve">. </w:t>
      </w:r>
    </w:p>
    <w:p w14:paraId="5367A8AC" w14:textId="6AD0D888" w:rsidR="006D58AE" w:rsidRPr="00A619D5" w:rsidRDefault="006417F3" w:rsidP="00A619D5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Other classes: distribution band, neighborhood, belief function, </w:t>
      </w:r>
      <w:proofErr w:type="spellStart"/>
      <w:r>
        <w:rPr>
          <w:rFonts w:ascii="Garamond" w:hAnsi="Garamond"/>
        </w:rPr>
        <w:t>Choquet</w:t>
      </w:r>
      <w:proofErr w:type="spellEnd"/>
      <w:r>
        <w:rPr>
          <w:rFonts w:ascii="Garamond" w:hAnsi="Garamond"/>
        </w:rPr>
        <w:t xml:space="preserve"> Capacities, and near ignorance class. </w:t>
      </w:r>
    </w:p>
    <w:p w14:paraId="7B2F999A" w14:textId="55C43F35" w:rsidR="00A619D5" w:rsidRDefault="00A619D5" w:rsidP="0039029A">
      <w:pPr>
        <w:rPr>
          <w:rFonts w:ascii="Garamond" w:hAnsi="Garamond"/>
        </w:rPr>
      </w:pPr>
    </w:p>
    <w:p w14:paraId="64B9C578" w14:textId="2C1F1A4E" w:rsidR="00EE699C" w:rsidRDefault="00EE699C" w:rsidP="00EE699C">
      <w:pPr>
        <w:ind w:firstLine="360"/>
        <w:rPr>
          <w:rFonts w:ascii="Garamond" w:hAnsi="Garamond"/>
        </w:rPr>
      </w:pPr>
      <w:r>
        <w:rPr>
          <w:rFonts w:ascii="Garamond" w:hAnsi="Garamond"/>
        </w:rPr>
        <w:t>Sec</w:t>
      </w:r>
      <w:r w:rsidR="00394B57">
        <w:rPr>
          <w:rFonts w:ascii="Garamond" w:hAnsi="Garamond"/>
        </w:rPr>
        <w:t xml:space="preserve">tion 4 </w:t>
      </w:r>
      <w:r w:rsidR="006B7D02">
        <w:rPr>
          <w:rFonts w:ascii="Garamond" w:hAnsi="Garamond"/>
        </w:rPr>
        <w:t>then discusses</w:t>
      </w:r>
      <w:r w:rsidR="00394B57">
        <w:rPr>
          <w:rFonts w:ascii="Garamond" w:hAnsi="Garamond"/>
        </w:rPr>
        <w:t xml:space="preserve"> the global robustness approach</w:t>
      </w:r>
      <w:r>
        <w:rPr>
          <w:rFonts w:ascii="Garamond" w:hAnsi="Garamond"/>
        </w:rPr>
        <w:t xml:space="preserve"> applied to hypothesis testing, which can provide lower bounds on the Bayes factor for diff</w:t>
      </w:r>
      <w:r w:rsidR="000E71EE">
        <w:rPr>
          <w:rFonts w:ascii="Garamond" w:hAnsi="Garamond"/>
        </w:rPr>
        <w:t xml:space="preserve">erent p-values. </w:t>
      </w:r>
      <w:r w:rsidR="009F11FE">
        <w:rPr>
          <w:rFonts w:ascii="Garamond" w:hAnsi="Garamond"/>
        </w:rPr>
        <w:t>An</w:t>
      </w:r>
      <w:r w:rsidR="000E71EE">
        <w:rPr>
          <w:rFonts w:ascii="Garamond" w:hAnsi="Garamond"/>
        </w:rPr>
        <w:t xml:space="preserve"> example </w:t>
      </w:r>
      <w:bookmarkStart w:id="0" w:name="_GoBack"/>
      <w:bookmarkEnd w:id="0"/>
      <w:r w:rsidR="000215BC">
        <w:rPr>
          <w:rFonts w:ascii="Garamond" w:hAnsi="Garamond"/>
        </w:rPr>
        <w:t>shows the surprisingly</w:t>
      </w:r>
      <w:r w:rsidR="00D83AC9">
        <w:rPr>
          <w:rFonts w:ascii="Garamond" w:hAnsi="Garamond"/>
        </w:rPr>
        <w:t xml:space="preserve"> large </w:t>
      </w:r>
      <w:r w:rsidR="009B6CB7">
        <w:rPr>
          <w:rFonts w:ascii="Garamond" w:hAnsi="Garamond"/>
        </w:rPr>
        <w:t>discrepancy</w:t>
      </w:r>
      <w:r w:rsidR="00D83AC9">
        <w:rPr>
          <w:rFonts w:ascii="Garamond" w:hAnsi="Garamond"/>
        </w:rPr>
        <w:t xml:space="preserve"> between p-values and Bayes factor</w:t>
      </w:r>
      <w:r w:rsidR="00725054">
        <w:rPr>
          <w:rFonts w:ascii="Garamond" w:hAnsi="Garamond"/>
        </w:rPr>
        <w:t>s</w:t>
      </w:r>
      <w:r w:rsidR="00D83AC9">
        <w:rPr>
          <w:rFonts w:ascii="Garamond" w:hAnsi="Garamond"/>
        </w:rPr>
        <w:t xml:space="preserve">. </w:t>
      </w:r>
      <w:r w:rsidR="00394B57">
        <w:rPr>
          <w:rFonts w:ascii="Garamond" w:hAnsi="Garamond"/>
        </w:rPr>
        <w:t xml:space="preserve">Global robustness can also be applied to likelihoods, but with difficulties. </w:t>
      </w:r>
      <w:r w:rsidR="005E09BE">
        <w:rPr>
          <w:rFonts w:ascii="Garamond" w:hAnsi="Garamond"/>
        </w:rPr>
        <w:t>Overall,</w:t>
      </w:r>
      <w:r w:rsidR="00B51DA5">
        <w:rPr>
          <w:rFonts w:ascii="Garamond" w:hAnsi="Garamond"/>
        </w:rPr>
        <w:t xml:space="preserve"> </w:t>
      </w:r>
      <w:r w:rsidR="008F4CFA">
        <w:rPr>
          <w:rFonts w:ascii="Garamond" w:hAnsi="Garamond"/>
        </w:rPr>
        <w:t xml:space="preserve">the </w:t>
      </w:r>
      <w:r w:rsidR="00B51DA5">
        <w:rPr>
          <w:rFonts w:ascii="Garamond" w:hAnsi="Garamond"/>
        </w:rPr>
        <w:t xml:space="preserve">limitation of global robustness is that it ignores a very important quantity,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π, f</m:t>
            </m:r>
          </m:e>
        </m:d>
      </m:oMath>
      <w:r w:rsidR="00B51DA5">
        <w:rPr>
          <w:rFonts w:ascii="Garamond" w:hAnsi="Garamond"/>
        </w:rPr>
        <w:t xml:space="preserve">, which can lead to erroneous results if a full Bayesian analysis is not done. </w:t>
      </w:r>
      <w:r w:rsidR="00D5750B">
        <w:rPr>
          <w:rFonts w:ascii="Garamond" w:hAnsi="Garamond"/>
        </w:rPr>
        <w:t>Section 4 concludes by discussing the o</w:t>
      </w:r>
      <w:r w:rsidR="00EC0F32">
        <w:rPr>
          <w:rFonts w:ascii="Garamond" w:hAnsi="Garamond"/>
        </w:rPr>
        <w:t>ptimization of global robustness</w:t>
      </w:r>
      <w:r w:rsidR="00B4534F">
        <w:rPr>
          <w:rFonts w:ascii="Garamond" w:hAnsi="Garamond"/>
        </w:rPr>
        <w:t>, which is</w:t>
      </w:r>
      <w:r w:rsidR="00B51DA5">
        <w:rPr>
          <w:rFonts w:ascii="Garamond" w:hAnsi="Garamond"/>
        </w:rPr>
        <w:t xml:space="preserve"> done by specifying</w:t>
      </w:r>
      <w:r w:rsidR="009500BD">
        <w:rPr>
          <w:rFonts w:ascii="Garamond" w:hAnsi="Garamond"/>
        </w:rPr>
        <w:t xml:space="preserve"> a credible set</w:t>
      </w:r>
      <w:r w:rsidR="00B51DA5">
        <w:rPr>
          <w:rFonts w:ascii="Garamond" w:hAnsi="Garamond"/>
        </w:rPr>
        <w:t xml:space="preserve"> C, </w:t>
      </w:r>
      <w:r w:rsidR="00B51DA5" w:rsidRPr="0039029A">
        <w:rPr>
          <w:rFonts w:ascii="Garamond" w:hAnsi="Garamond"/>
        </w:rPr>
        <w:t xml:space="preserve">for </w:t>
      </w:r>
      <m:oMath>
        <m:r>
          <w:rPr>
            <w:rFonts w:ascii="Cambria Math" w:hAnsi="Cambria Math"/>
          </w:rPr>
          <m:t>θ</m:t>
        </m:r>
      </m:oMath>
      <w:r w:rsidR="00B51DA5">
        <w:rPr>
          <w:rFonts w:ascii="Garamond" w:hAnsi="Garamond"/>
        </w:rPr>
        <w:t>, and</w:t>
      </w:r>
      <w:r w:rsidR="009500BD">
        <w:rPr>
          <w:rFonts w:ascii="Garamond" w:hAnsi="Garamond"/>
        </w:rPr>
        <w:t xml:space="preserve"> requiring</w:t>
      </w:r>
      <w:r w:rsidR="00B51DA5" w:rsidRPr="0039029A">
        <w:rPr>
          <w:rFonts w:ascii="Garamond" w:hAnsi="Garamond"/>
        </w:rPr>
        <w:t xml:space="preserve"> that the posterior probability of C satisfy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θ∈C</m:t>
                </m:r>
              </m:e>
              <m:e>
                <m:r>
                  <w:rPr>
                    <w:rFonts w:ascii="Cambria Math" w:hAnsi="Cambria Math"/>
                  </w:rPr>
                  <m:t>x, π</m:t>
                </m:r>
              </m:e>
            </m:d>
          </m:e>
        </m:func>
        <m:r>
          <w:rPr>
            <w:rFonts w:ascii="Cambria Math" w:hAnsi="Cambria Math"/>
          </w:rPr>
          <m:t>≥0.90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for all π∈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.</m:t>
        </m:r>
      </m:oMath>
    </w:p>
    <w:p w14:paraId="043666EE" w14:textId="77777777" w:rsidR="007810BE" w:rsidRDefault="007810BE" w:rsidP="00EE699C">
      <w:pPr>
        <w:ind w:firstLine="360"/>
        <w:rPr>
          <w:rFonts w:ascii="Garamond" w:hAnsi="Garamond"/>
        </w:rPr>
      </w:pPr>
    </w:p>
    <w:p w14:paraId="361767D1" w14:textId="2C4ED11F" w:rsidR="007810BE" w:rsidRDefault="007810BE" w:rsidP="00EE699C">
      <w:pPr>
        <w:ind w:firstLine="360"/>
        <w:rPr>
          <w:rFonts w:ascii="Garamond" w:hAnsi="Garamond"/>
        </w:rPr>
      </w:pPr>
      <w:r>
        <w:rPr>
          <w:rFonts w:ascii="Garamond" w:hAnsi="Garamond"/>
        </w:rPr>
        <w:t xml:space="preserve">Section 5 discusses computational tricks such as linearization </w:t>
      </w:r>
      <w:r w:rsidRPr="0039029A">
        <w:rPr>
          <w:rFonts w:ascii="Garamond" w:hAnsi="Garamond"/>
        </w:rPr>
        <w:t xml:space="preserve">to find </w:t>
      </w:r>
      <m:oMath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ψ</m:t>
            </m:r>
          </m:e>
        </m:bar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ascii="Garamond" w:hAnsi="Garamond"/>
        </w:rPr>
        <w:t>, and reweighting to quickly go between priors. The future technical goal</w:t>
      </w:r>
      <w:r w:rsidR="00995E76">
        <w:rPr>
          <w:rFonts w:ascii="Garamond" w:hAnsi="Garamond"/>
        </w:rPr>
        <w:t xml:space="preserve"> of RBA</w:t>
      </w:r>
      <w:r>
        <w:rPr>
          <w:rFonts w:ascii="Garamond" w:hAnsi="Garamond"/>
        </w:rPr>
        <w:t xml:space="preserve"> is to create an interactive Bayesian program that can proceed with partial information and provide implied range of Bayesian answers, suggesting what additional elicitations are desirable.  </w:t>
      </w:r>
    </w:p>
    <w:p w14:paraId="2A07EC6A" w14:textId="77777777" w:rsidR="000422D5" w:rsidRDefault="000422D5" w:rsidP="0039029A">
      <w:pPr>
        <w:rPr>
          <w:rFonts w:ascii="Garamond" w:hAnsi="Garamond"/>
        </w:rPr>
      </w:pPr>
    </w:p>
    <w:p w14:paraId="2726A40C" w14:textId="3DEC1103" w:rsidR="00EB5D2E" w:rsidRPr="0039029A" w:rsidRDefault="007D2FD5" w:rsidP="00B41FDB">
      <w:pPr>
        <w:ind w:firstLine="360"/>
        <w:rPr>
          <w:rFonts w:ascii="Garamond" w:hAnsi="Garamond"/>
        </w:rPr>
      </w:pPr>
      <w:r>
        <w:rPr>
          <w:rFonts w:ascii="Garamond" w:hAnsi="Garamond"/>
        </w:rPr>
        <w:t xml:space="preserve">Section 6 concludes </w:t>
      </w:r>
      <w:r w:rsidR="00637A55">
        <w:rPr>
          <w:rFonts w:ascii="Garamond" w:hAnsi="Garamond"/>
        </w:rPr>
        <w:t xml:space="preserve">by saying RBA can be applied when subjective Bayes is feasible, and is necessary when objective Bayesian methods do not exist. RBA is also intuitively applicable to clinical trials </w:t>
      </w:r>
      <w:r w:rsidR="001E43B7">
        <w:rPr>
          <w:rFonts w:ascii="Garamond" w:hAnsi="Garamond"/>
        </w:rPr>
        <w:t>and group decision-making since</w:t>
      </w:r>
      <w:r w:rsidR="00637A55">
        <w:rPr>
          <w:rFonts w:ascii="Garamond" w:hAnsi="Garamond"/>
        </w:rPr>
        <w:t xml:space="preserve"> there are a variety of prior opinions </w:t>
      </w:r>
      <w:r w:rsidR="001E43B7">
        <w:rPr>
          <w:rFonts w:ascii="Garamond" w:hAnsi="Garamond"/>
        </w:rPr>
        <w:t xml:space="preserve">in both cases. </w:t>
      </w:r>
      <w:r w:rsidR="00637A55">
        <w:rPr>
          <w:rFonts w:ascii="Garamond" w:hAnsi="Garamond"/>
        </w:rPr>
        <w:t xml:space="preserve"> </w:t>
      </w:r>
    </w:p>
    <w:sectPr w:rsidR="00EB5D2E" w:rsidRPr="0039029A" w:rsidSect="00B163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06FFA"/>
    <w:multiLevelType w:val="hybridMultilevel"/>
    <w:tmpl w:val="804C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1636D"/>
    <w:multiLevelType w:val="hybridMultilevel"/>
    <w:tmpl w:val="9C760A72"/>
    <w:lvl w:ilvl="0" w:tplc="CB924D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93CBE"/>
    <w:multiLevelType w:val="hybridMultilevel"/>
    <w:tmpl w:val="FE8CF816"/>
    <w:lvl w:ilvl="0" w:tplc="DD4649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864A0"/>
    <w:multiLevelType w:val="hybridMultilevel"/>
    <w:tmpl w:val="2318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5F2E4D"/>
    <w:multiLevelType w:val="hybridMultilevel"/>
    <w:tmpl w:val="E31648E0"/>
    <w:lvl w:ilvl="0" w:tplc="10909F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10D21"/>
    <w:multiLevelType w:val="hybridMultilevel"/>
    <w:tmpl w:val="912A97D4"/>
    <w:lvl w:ilvl="0" w:tplc="1152CF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42E90"/>
    <w:multiLevelType w:val="hybridMultilevel"/>
    <w:tmpl w:val="970C56B0"/>
    <w:lvl w:ilvl="0" w:tplc="B56EE6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352601"/>
    <w:multiLevelType w:val="hybridMultilevel"/>
    <w:tmpl w:val="6C88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8C2A32"/>
    <w:multiLevelType w:val="hybridMultilevel"/>
    <w:tmpl w:val="029A43BC"/>
    <w:lvl w:ilvl="0" w:tplc="21284D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790"/>
    <w:rsid w:val="0002097A"/>
    <w:rsid w:val="000215BC"/>
    <w:rsid w:val="00022603"/>
    <w:rsid w:val="00026AE4"/>
    <w:rsid w:val="00032307"/>
    <w:rsid w:val="000422D5"/>
    <w:rsid w:val="00052886"/>
    <w:rsid w:val="00066439"/>
    <w:rsid w:val="00075601"/>
    <w:rsid w:val="00092352"/>
    <w:rsid w:val="000A2E9A"/>
    <w:rsid w:val="000D4350"/>
    <w:rsid w:val="000D590F"/>
    <w:rsid w:val="000E71EE"/>
    <w:rsid w:val="000F690F"/>
    <w:rsid w:val="001014D0"/>
    <w:rsid w:val="00111C14"/>
    <w:rsid w:val="0013794B"/>
    <w:rsid w:val="00145556"/>
    <w:rsid w:val="00193DAB"/>
    <w:rsid w:val="001B4FE3"/>
    <w:rsid w:val="001D12ED"/>
    <w:rsid w:val="001E1A79"/>
    <w:rsid w:val="001E43B7"/>
    <w:rsid w:val="00224EAF"/>
    <w:rsid w:val="00240ADD"/>
    <w:rsid w:val="002443D7"/>
    <w:rsid w:val="00246D6F"/>
    <w:rsid w:val="0024745C"/>
    <w:rsid w:val="00255222"/>
    <w:rsid w:val="002700DF"/>
    <w:rsid w:val="002840FF"/>
    <w:rsid w:val="00293AA8"/>
    <w:rsid w:val="002A0CF0"/>
    <w:rsid w:val="002A455E"/>
    <w:rsid w:val="002B028A"/>
    <w:rsid w:val="002B2AD6"/>
    <w:rsid w:val="002C7C3F"/>
    <w:rsid w:val="002D0E02"/>
    <w:rsid w:val="002D1010"/>
    <w:rsid w:val="002F1BBB"/>
    <w:rsid w:val="00312175"/>
    <w:rsid w:val="003205DF"/>
    <w:rsid w:val="00342758"/>
    <w:rsid w:val="00353776"/>
    <w:rsid w:val="00355419"/>
    <w:rsid w:val="00364084"/>
    <w:rsid w:val="003674DC"/>
    <w:rsid w:val="0039029A"/>
    <w:rsid w:val="00394B57"/>
    <w:rsid w:val="00395901"/>
    <w:rsid w:val="003C345D"/>
    <w:rsid w:val="003D6B44"/>
    <w:rsid w:val="003E4A6F"/>
    <w:rsid w:val="00417F2F"/>
    <w:rsid w:val="00424BA2"/>
    <w:rsid w:val="004310D8"/>
    <w:rsid w:val="0043618B"/>
    <w:rsid w:val="0044494B"/>
    <w:rsid w:val="0045115E"/>
    <w:rsid w:val="00454613"/>
    <w:rsid w:val="00457905"/>
    <w:rsid w:val="00471FB6"/>
    <w:rsid w:val="004B1A24"/>
    <w:rsid w:val="004C45FF"/>
    <w:rsid w:val="004D416F"/>
    <w:rsid w:val="00507050"/>
    <w:rsid w:val="00517324"/>
    <w:rsid w:val="005215E8"/>
    <w:rsid w:val="00534420"/>
    <w:rsid w:val="00534CFD"/>
    <w:rsid w:val="00544961"/>
    <w:rsid w:val="00547E07"/>
    <w:rsid w:val="00553E78"/>
    <w:rsid w:val="00557D3E"/>
    <w:rsid w:val="00572554"/>
    <w:rsid w:val="00595AD1"/>
    <w:rsid w:val="005A4EA8"/>
    <w:rsid w:val="005B2933"/>
    <w:rsid w:val="005D2E43"/>
    <w:rsid w:val="005E09BE"/>
    <w:rsid w:val="005E78A0"/>
    <w:rsid w:val="005F0869"/>
    <w:rsid w:val="005F137F"/>
    <w:rsid w:val="00600863"/>
    <w:rsid w:val="006127B0"/>
    <w:rsid w:val="006322CB"/>
    <w:rsid w:val="00634E35"/>
    <w:rsid w:val="00637A55"/>
    <w:rsid w:val="006417F3"/>
    <w:rsid w:val="00655017"/>
    <w:rsid w:val="00662A04"/>
    <w:rsid w:val="006752F8"/>
    <w:rsid w:val="0068075A"/>
    <w:rsid w:val="0068110F"/>
    <w:rsid w:val="00694638"/>
    <w:rsid w:val="006B7D02"/>
    <w:rsid w:val="006C1D10"/>
    <w:rsid w:val="006C263A"/>
    <w:rsid w:val="006D58AE"/>
    <w:rsid w:val="006D6830"/>
    <w:rsid w:val="006E310D"/>
    <w:rsid w:val="006E4F1B"/>
    <w:rsid w:val="006F155A"/>
    <w:rsid w:val="00704FC3"/>
    <w:rsid w:val="007060B5"/>
    <w:rsid w:val="00725054"/>
    <w:rsid w:val="00726BEB"/>
    <w:rsid w:val="0077188D"/>
    <w:rsid w:val="007810BE"/>
    <w:rsid w:val="0079338C"/>
    <w:rsid w:val="007C0A94"/>
    <w:rsid w:val="007C2091"/>
    <w:rsid w:val="007C6D70"/>
    <w:rsid w:val="007D2FD5"/>
    <w:rsid w:val="007E66BC"/>
    <w:rsid w:val="00812317"/>
    <w:rsid w:val="00813AF7"/>
    <w:rsid w:val="00826A45"/>
    <w:rsid w:val="008309DB"/>
    <w:rsid w:val="00837311"/>
    <w:rsid w:val="00862A83"/>
    <w:rsid w:val="008668CB"/>
    <w:rsid w:val="00870540"/>
    <w:rsid w:val="00875AC8"/>
    <w:rsid w:val="00887157"/>
    <w:rsid w:val="0089189A"/>
    <w:rsid w:val="008B51B9"/>
    <w:rsid w:val="008C0081"/>
    <w:rsid w:val="008E4614"/>
    <w:rsid w:val="008F4CFA"/>
    <w:rsid w:val="009161A4"/>
    <w:rsid w:val="009500BD"/>
    <w:rsid w:val="00962EA0"/>
    <w:rsid w:val="009670B2"/>
    <w:rsid w:val="00980D1A"/>
    <w:rsid w:val="009856EC"/>
    <w:rsid w:val="00985E55"/>
    <w:rsid w:val="0099374D"/>
    <w:rsid w:val="00995E76"/>
    <w:rsid w:val="009A7F6D"/>
    <w:rsid w:val="009B6CB7"/>
    <w:rsid w:val="009C642B"/>
    <w:rsid w:val="009D1DB3"/>
    <w:rsid w:val="009E5864"/>
    <w:rsid w:val="009F11FE"/>
    <w:rsid w:val="009F7596"/>
    <w:rsid w:val="00A065E0"/>
    <w:rsid w:val="00A14D35"/>
    <w:rsid w:val="00A21136"/>
    <w:rsid w:val="00A221F4"/>
    <w:rsid w:val="00A26CFE"/>
    <w:rsid w:val="00A35CD4"/>
    <w:rsid w:val="00A412B3"/>
    <w:rsid w:val="00A46F74"/>
    <w:rsid w:val="00A54FFD"/>
    <w:rsid w:val="00A619D5"/>
    <w:rsid w:val="00A66FDF"/>
    <w:rsid w:val="00A85F5B"/>
    <w:rsid w:val="00AA0746"/>
    <w:rsid w:val="00AA41E9"/>
    <w:rsid w:val="00AB4D3D"/>
    <w:rsid w:val="00AC437E"/>
    <w:rsid w:val="00AE7A4B"/>
    <w:rsid w:val="00B163F7"/>
    <w:rsid w:val="00B20183"/>
    <w:rsid w:val="00B22D2C"/>
    <w:rsid w:val="00B32367"/>
    <w:rsid w:val="00B33AF7"/>
    <w:rsid w:val="00B357A2"/>
    <w:rsid w:val="00B4070F"/>
    <w:rsid w:val="00B41FDB"/>
    <w:rsid w:val="00B4534F"/>
    <w:rsid w:val="00B51DA5"/>
    <w:rsid w:val="00B55E56"/>
    <w:rsid w:val="00B60CCB"/>
    <w:rsid w:val="00B70044"/>
    <w:rsid w:val="00B728A1"/>
    <w:rsid w:val="00B73EE3"/>
    <w:rsid w:val="00B81F3C"/>
    <w:rsid w:val="00B967E5"/>
    <w:rsid w:val="00BB15C5"/>
    <w:rsid w:val="00BE5BFE"/>
    <w:rsid w:val="00BF3019"/>
    <w:rsid w:val="00BF4790"/>
    <w:rsid w:val="00C16634"/>
    <w:rsid w:val="00C21490"/>
    <w:rsid w:val="00C2335F"/>
    <w:rsid w:val="00C240BA"/>
    <w:rsid w:val="00C35481"/>
    <w:rsid w:val="00C562DB"/>
    <w:rsid w:val="00C61648"/>
    <w:rsid w:val="00C72571"/>
    <w:rsid w:val="00C77B8C"/>
    <w:rsid w:val="00C81356"/>
    <w:rsid w:val="00C84E22"/>
    <w:rsid w:val="00CA1D0F"/>
    <w:rsid w:val="00CC3D56"/>
    <w:rsid w:val="00CD491A"/>
    <w:rsid w:val="00CD6015"/>
    <w:rsid w:val="00CD65F0"/>
    <w:rsid w:val="00CD66AB"/>
    <w:rsid w:val="00CF2304"/>
    <w:rsid w:val="00D01D70"/>
    <w:rsid w:val="00D03422"/>
    <w:rsid w:val="00D11A0A"/>
    <w:rsid w:val="00D2086B"/>
    <w:rsid w:val="00D2365D"/>
    <w:rsid w:val="00D2683D"/>
    <w:rsid w:val="00D27FDE"/>
    <w:rsid w:val="00D31B69"/>
    <w:rsid w:val="00D573A4"/>
    <w:rsid w:val="00D5750B"/>
    <w:rsid w:val="00D75592"/>
    <w:rsid w:val="00D755DA"/>
    <w:rsid w:val="00D75DCD"/>
    <w:rsid w:val="00D76D0F"/>
    <w:rsid w:val="00D83AC9"/>
    <w:rsid w:val="00D85240"/>
    <w:rsid w:val="00D859CA"/>
    <w:rsid w:val="00D930BC"/>
    <w:rsid w:val="00DB0479"/>
    <w:rsid w:val="00DB6F68"/>
    <w:rsid w:val="00DF0B07"/>
    <w:rsid w:val="00E05106"/>
    <w:rsid w:val="00E1550D"/>
    <w:rsid w:val="00E16B7B"/>
    <w:rsid w:val="00E22112"/>
    <w:rsid w:val="00E33D4B"/>
    <w:rsid w:val="00E54D51"/>
    <w:rsid w:val="00E54FCE"/>
    <w:rsid w:val="00E55E05"/>
    <w:rsid w:val="00E71D57"/>
    <w:rsid w:val="00E92B2C"/>
    <w:rsid w:val="00EB5D2E"/>
    <w:rsid w:val="00EC0F32"/>
    <w:rsid w:val="00EC4A18"/>
    <w:rsid w:val="00ED6CAD"/>
    <w:rsid w:val="00EE699C"/>
    <w:rsid w:val="00F0077F"/>
    <w:rsid w:val="00F1189E"/>
    <w:rsid w:val="00F144EE"/>
    <w:rsid w:val="00F21F4A"/>
    <w:rsid w:val="00F373A5"/>
    <w:rsid w:val="00F420A5"/>
    <w:rsid w:val="00F64965"/>
    <w:rsid w:val="00F83C9A"/>
    <w:rsid w:val="00F92B2F"/>
    <w:rsid w:val="00FA208A"/>
    <w:rsid w:val="00FA3BBE"/>
    <w:rsid w:val="00FA7928"/>
    <w:rsid w:val="00FC63F0"/>
    <w:rsid w:val="00FE1A24"/>
    <w:rsid w:val="00FF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DD44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6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52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4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6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52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4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1099</Words>
  <Characters>6270</Characters>
  <Application>Microsoft Macintosh Word</Application>
  <DocSecurity>0</DocSecurity>
  <Lines>52</Lines>
  <Paragraphs>14</Paragraphs>
  <ScaleCrop>false</ScaleCrop>
  <Company>Mizzou</Company>
  <LinksUpToDate>false</LinksUpToDate>
  <CharactersWithSpaces>7355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Hillard</dc:creator>
  <cp:keywords/>
  <dc:description/>
  <cp:lastModifiedBy>Andrew Hillard</cp:lastModifiedBy>
  <cp:revision>140</cp:revision>
  <dcterms:created xsi:type="dcterms:W3CDTF">2016-05-09T20:50:00Z</dcterms:created>
  <dcterms:modified xsi:type="dcterms:W3CDTF">2016-05-10T02:26:00Z</dcterms:modified>
</cp:coreProperties>
</file>