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80" w:line="264" w:lineRule="auto"/>
        <w:jc w:val="center"/>
      </w:pPr>
      <w:r>
        <w:rPr>
          <w:rFonts w:ascii="Calibri" w:hAnsi="Calibri"/>
          <w:b/>
          <w:i w:val="0"/>
          <w:color w:val="C8924A"/>
          <w:sz w:val="24"/>
        </w:rPr>
        <w:t>MOHASIB</w:t>
      </w:r>
    </w:p>
    <w:p>
      <w:pPr>
        <w:keepNext w:val="0"/>
        <w:spacing w:before="0" w:after="100" w:line="264" w:lineRule="auto"/>
        <w:jc w:val="center"/>
      </w:pPr>
      <w:r>
        <w:rPr>
          <w:rFonts w:ascii="Calibri" w:hAnsi="Calibri"/>
          <w:b/>
          <w:i w:val="0"/>
          <w:color w:val="0D1526"/>
          <w:sz w:val="56"/>
        </w:rPr>
        <w:t>Company &amp; Funding Memo</w:t>
      </w:r>
    </w:p>
    <w:p>
      <w:pPr>
        <w:keepNext w:val="0"/>
        <w:spacing w:before="0" w:after="160" w:line="264" w:lineRule="auto"/>
        <w:jc w:val="center"/>
      </w:pPr>
      <w:r>
        <w:rPr>
          <w:rFonts w:ascii="Calibri" w:hAnsi="Calibri"/>
          <w:b w:val="0"/>
          <w:i w:val="0"/>
          <w:color w:val="1A1A2E"/>
          <w:sz w:val="30"/>
        </w:rPr>
        <w:t>The financial operating system for Moroccan businesses</w:t>
      </w:r>
    </w:p>
    <w:p>
      <w:pPr>
        <w:keepNext w:val="0"/>
        <w:spacing w:before="0" w:after="480" w:line="264" w:lineRule="auto"/>
        <w:jc w:val="center"/>
      </w:pPr>
      <w:r>
        <w:rPr>
          <w:rFonts w:ascii="Calibri" w:hAnsi="Calibri"/>
          <w:b/>
          <w:i w:val="0"/>
          <w:color w:val="667085"/>
          <w:sz w:val="21"/>
        </w:rPr>
        <w:t>Pre-seed investor package</w:t>
      </w:r>
    </w:p>
    <w:tbl>
      <w:tblPr>
        <w:tblW w:type="auto" w:w="0"/>
        <w:jc w:val="center"/>
        <w:tblLayout w:type="fixed"/>
        <w:tblLook w:firstColumn="1" w:firstRow="1" w:lastColumn="0" w:lastRow="0" w:noHBand="0" w:noVBand="1" w:val="04A0"/>
      </w:tblPr>
      <w:tblGrid>
        <w:gridCol w:w="4680"/>
        <w:gridCol w:w="4680"/>
      </w:tblGrid>
      <w:tr>
        <w:tc>
          <w:tcPr>
            <w:tcW w:type="dxa" w:w="2376"/>
            <w:tcMar>
              <w:top w:w="100" w:type="dxa"/>
              <w:start w:w="120" w:type="dxa"/>
              <w:bottom w:w="100" w:type="dxa"/>
              <w:end w:w="120" w:type="dxa"/>
            </w:tcMar>
            <w:vAlign w:val="center"/>
            <w:shd w:fill="F2F4F7"/>
          </w:tcPr>
          <w:p>
            <w:pPr>
              <w:spacing w:after="0"/>
            </w:pPr>
            <w:r>
              <w:rPr>
                <w:rFonts w:ascii="Calibri" w:hAnsi="Calibri"/>
                <w:b/>
                <w:i w:val="0"/>
                <w:color w:val="0D1526"/>
                <w:sz w:val="19"/>
              </w:rPr>
              <w:t>Company</w:t>
            </w:r>
          </w:p>
        </w:tc>
        <w:tc>
          <w:tcPr>
            <w:tcW w:type="dxa" w:w="6984"/>
            <w:tcMar>
              <w:top w:w="100" w:type="dxa"/>
              <w:start w:w="120" w:type="dxa"/>
              <w:bottom w:w="100" w:type="dxa"/>
              <w:end w:w="120" w:type="dxa"/>
            </w:tcMar>
            <w:vAlign w:val="center"/>
          </w:tcPr>
          <w:p>
            <w:pPr>
              <w:spacing w:after="0"/>
            </w:pPr>
            <w:r>
              <w:rPr>
                <w:rFonts w:ascii="Calibri" w:hAnsi="Calibri"/>
                <w:b w:val="0"/>
                <w:i w:val="0"/>
                <w:color w:val="1A1A2E"/>
                <w:sz w:val="19"/>
              </w:rPr>
              <w:t>Mohasib</w:t>
            </w:r>
          </w:p>
        </w:tc>
      </w:tr>
      <w:tr>
        <w:tc>
          <w:tcPr>
            <w:tcW w:type="dxa" w:w="2376"/>
            <w:tcMar>
              <w:top w:w="100" w:type="dxa"/>
              <w:start w:w="120" w:type="dxa"/>
              <w:bottom w:w="100" w:type="dxa"/>
              <w:end w:w="120" w:type="dxa"/>
            </w:tcMar>
            <w:vAlign w:val="center"/>
            <w:shd w:fill="F2F4F7"/>
          </w:tcPr>
          <w:p>
            <w:pPr>
              <w:spacing w:after="0"/>
            </w:pPr>
            <w:r>
              <w:rPr>
                <w:rFonts w:ascii="Calibri" w:hAnsi="Calibri"/>
                <w:b/>
                <w:i w:val="0"/>
                <w:color w:val="0D1526"/>
                <w:sz w:val="19"/>
              </w:rPr>
              <w:t>Founder</w:t>
            </w:r>
          </w:p>
        </w:tc>
        <w:tc>
          <w:tcPr>
            <w:tcW w:type="dxa" w:w="6984"/>
            <w:tcMar>
              <w:top w:w="100" w:type="dxa"/>
              <w:start w:w="120" w:type="dxa"/>
              <w:bottom w:w="100" w:type="dxa"/>
              <w:end w:w="120" w:type="dxa"/>
            </w:tcMar>
            <w:vAlign w:val="center"/>
          </w:tcPr>
          <w:p>
            <w:pPr>
              <w:spacing w:after="0"/>
            </w:pPr>
            <w:r>
              <w:rPr>
                <w:rFonts w:ascii="Calibri" w:hAnsi="Calibri"/>
                <w:b w:val="0"/>
                <w:i w:val="0"/>
                <w:color w:val="1A1A2E"/>
                <w:sz w:val="19"/>
              </w:rPr>
              <w:t>Abdelhamid Ahjame — founder and product builder</w:t>
            </w:r>
          </w:p>
        </w:tc>
      </w:tr>
      <w:tr>
        <w:tc>
          <w:tcPr>
            <w:tcW w:type="dxa" w:w="2376"/>
            <w:tcMar>
              <w:top w:w="100" w:type="dxa"/>
              <w:start w:w="120" w:type="dxa"/>
              <w:bottom w:w="100" w:type="dxa"/>
              <w:end w:w="120" w:type="dxa"/>
            </w:tcMar>
            <w:vAlign w:val="center"/>
            <w:shd w:fill="F2F4F7"/>
          </w:tcPr>
          <w:p>
            <w:pPr>
              <w:spacing w:after="0"/>
            </w:pPr>
            <w:r>
              <w:rPr>
                <w:rFonts w:ascii="Calibri" w:hAnsi="Calibri"/>
                <w:b/>
                <w:i w:val="0"/>
                <w:color w:val="0D1526"/>
                <w:sz w:val="19"/>
              </w:rPr>
              <w:t>Market</w:t>
            </w:r>
          </w:p>
        </w:tc>
        <w:tc>
          <w:tcPr>
            <w:tcW w:type="dxa" w:w="6984"/>
            <w:tcMar>
              <w:top w:w="100" w:type="dxa"/>
              <w:start w:w="120" w:type="dxa"/>
              <w:bottom w:w="100" w:type="dxa"/>
              <w:end w:w="120" w:type="dxa"/>
            </w:tcMar>
            <w:vAlign w:val="center"/>
          </w:tcPr>
          <w:p>
            <w:pPr>
              <w:spacing w:after="0"/>
            </w:pPr>
            <w:r>
              <w:rPr>
                <w:rFonts w:ascii="Calibri" w:hAnsi="Calibri"/>
                <w:b w:val="0"/>
                <w:i w:val="0"/>
                <w:color w:val="1A1A2E"/>
                <w:sz w:val="19"/>
              </w:rPr>
              <w:t>Moroccan TPE/SMEs and accounting firms</w:t>
            </w:r>
          </w:p>
        </w:tc>
      </w:tr>
      <w:tr>
        <w:tc>
          <w:tcPr>
            <w:tcW w:type="dxa" w:w="2376"/>
            <w:tcMar>
              <w:top w:w="100" w:type="dxa"/>
              <w:start w:w="120" w:type="dxa"/>
              <w:bottom w:w="100" w:type="dxa"/>
              <w:end w:w="120" w:type="dxa"/>
            </w:tcMar>
            <w:vAlign w:val="center"/>
            <w:shd w:fill="F2F4F7"/>
          </w:tcPr>
          <w:p>
            <w:pPr>
              <w:spacing w:after="0"/>
            </w:pPr>
            <w:r>
              <w:rPr>
                <w:rFonts w:ascii="Calibri" w:hAnsi="Calibri"/>
                <w:b/>
                <w:i w:val="0"/>
                <w:color w:val="0D1526"/>
                <w:sz w:val="19"/>
              </w:rPr>
              <w:t>Business model</w:t>
            </w:r>
          </w:p>
        </w:tc>
        <w:tc>
          <w:tcPr>
            <w:tcW w:type="dxa" w:w="6984"/>
            <w:tcMar>
              <w:top w:w="100" w:type="dxa"/>
              <w:start w:w="120" w:type="dxa"/>
              <w:bottom w:w="100" w:type="dxa"/>
              <w:end w:w="120" w:type="dxa"/>
            </w:tcMar>
            <w:vAlign w:val="center"/>
          </w:tcPr>
          <w:p>
            <w:pPr>
              <w:spacing w:after="0"/>
            </w:pPr>
            <w:r>
              <w:rPr>
                <w:rFonts w:ascii="Calibri" w:hAnsi="Calibri"/>
                <w:b w:val="0"/>
                <w:i w:val="0"/>
                <w:color w:val="1A1A2E"/>
                <w:sz w:val="19"/>
              </w:rPr>
              <w:t>Free invoicing wedge; usage- and collaboration-based SaaS</w:t>
            </w:r>
          </w:p>
        </w:tc>
      </w:tr>
      <w:tr>
        <w:tc>
          <w:tcPr>
            <w:tcW w:type="dxa" w:w="2376"/>
            <w:tcMar>
              <w:top w:w="100" w:type="dxa"/>
              <w:start w:w="120" w:type="dxa"/>
              <w:bottom w:w="100" w:type="dxa"/>
              <w:end w:w="120" w:type="dxa"/>
            </w:tcMar>
            <w:vAlign w:val="center"/>
            <w:shd w:fill="F2F4F7"/>
          </w:tcPr>
          <w:p>
            <w:pPr>
              <w:spacing w:after="0"/>
            </w:pPr>
            <w:r>
              <w:rPr>
                <w:rFonts w:ascii="Calibri" w:hAnsi="Calibri"/>
                <w:b/>
                <w:i w:val="0"/>
                <w:color w:val="0D1526"/>
                <w:sz w:val="19"/>
              </w:rPr>
              <w:t>Website</w:t>
            </w:r>
          </w:p>
        </w:tc>
        <w:tc>
          <w:tcPr>
            <w:tcW w:type="dxa" w:w="6984"/>
            <w:tcMar>
              <w:top w:w="100" w:type="dxa"/>
              <w:start w:w="120" w:type="dxa"/>
              <w:bottom w:w="100" w:type="dxa"/>
              <w:end w:w="120" w:type="dxa"/>
            </w:tcMar>
            <w:vAlign w:val="center"/>
          </w:tcPr>
          <w:p>
            <w:pPr>
              <w:spacing w:after="0"/>
            </w:pPr>
            <w:r>
              <w:rPr>
                <w:rFonts w:ascii="Calibri" w:hAnsi="Calibri"/>
                <w:b w:val="0"/>
                <w:i w:val="0"/>
                <w:color w:val="1A1A2E"/>
                <w:sz w:val="19"/>
              </w:rPr>
              <w:t>mohasibai.com</w:t>
            </w:r>
          </w:p>
        </w:tc>
      </w:tr>
      <w:tr>
        <w:tc>
          <w:tcPr>
            <w:tcW w:type="dxa" w:w="2376"/>
            <w:tcMar>
              <w:top w:w="100" w:type="dxa"/>
              <w:start w:w="120" w:type="dxa"/>
              <w:bottom w:w="100" w:type="dxa"/>
              <w:end w:w="120" w:type="dxa"/>
            </w:tcMar>
            <w:vAlign w:val="center"/>
            <w:shd w:fill="F2F4F7"/>
          </w:tcPr>
          <w:p>
            <w:pPr>
              <w:spacing w:after="0"/>
            </w:pPr>
            <w:r>
              <w:rPr>
                <w:rFonts w:ascii="Calibri" w:hAnsi="Calibri"/>
                <w:b/>
                <w:i w:val="0"/>
                <w:color w:val="0D1526"/>
                <w:sz w:val="19"/>
              </w:rPr>
              <w:t>Contact</w:t>
            </w:r>
          </w:p>
        </w:tc>
        <w:tc>
          <w:tcPr>
            <w:tcW w:type="dxa" w:w="6984"/>
            <w:tcMar>
              <w:top w:w="100" w:type="dxa"/>
              <w:start w:w="120" w:type="dxa"/>
              <w:bottom w:w="100" w:type="dxa"/>
              <w:end w:w="120" w:type="dxa"/>
            </w:tcMar>
            <w:vAlign w:val="center"/>
          </w:tcPr>
          <w:p>
            <w:pPr>
              <w:spacing w:after="0"/>
            </w:pPr>
            <w:r>
              <w:rPr>
                <w:rFonts w:ascii="Calibri" w:hAnsi="Calibri"/>
                <w:b w:val="0"/>
                <w:i w:val="0"/>
                <w:color w:val="1A1A2E"/>
                <w:sz w:val="19"/>
              </w:rPr>
              <w:t>contact@mohasibai.com</w:t>
            </w:r>
          </w:p>
        </w:tc>
      </w:tr>
      <w:tr>
        <w:tc>
          <w:tcPr>
            <w:tcW w:type="dxa" w:w="2376"/>
            <w:tcMar>
              <w:top w:w="100" w:type="dxa"/>
              <w:start w:w="120" w:type="dxa"/>
              <w:bottom w:w="100" w:type="dxa"/>
              <w:end w:w="120" w:type="dxa"/>
            </w:tcMar>
            <w:vAlign w:val="center"/>
            <w:shd w:fill="F2F4F7"/>
          </w:tcPr>
          <w:p>
            <w:pPr>
              <w:spacing w:after="0"/>
            </w:pPr>
            <w:r>
              <w:rPr>
                <w:rFonts w:ascii="Calibri" w:hAnsi="Calibri"/>
                <w:b/>
                <w:i w:val="0"/>
                <w:color w:val="0D1526"/>
                <w:sz w:val="19"/>
              </w:rPr>
              <w:t>Round</w:t>
            </w:r>
          </w:p>
        </w:tc>
        <w:tc>
          <w:tcPr>
            <w:tcW w:type="dxa" w:w="6984"/>
            <w:tcMar>
              <w:top w:w="100" w:type="dxa"/>
              <w:start w:w="120" w:type="dxa"/>
              <w:bottom w:w="100" w:type="dxa"/>
              <w:end w:w="120" w:type="dxa"/>
            </w:tcMar>
            <w:vAlign w:val="center"/>
          </w:tcPr>
          <w:p>
            <w:pPr>
              <w:spacing w:after="0"/>
            </w:pPr>
            <w:r>
              <w:rPr>
                <w:rFonts w:ascii="Calibri" w:hAnsi="Calibri"/>
                <w:b w:val="0"/>
                <w:i w:val="0"/>
                <w:color w:val="1A1A2E"/>
                <w:sz w:val="19"/>
              </w:rPr>
              <w:t>Pre-seed — exact amount, instrument and terms to be confirmed</w:t>
            </w:r>
          </w:p>
        </w:tc>
      </w:tr>
    </w:tbl>
    <w:p>
      <w:pPr>
        <w:spacing w:after="20"/>
      </w:pPr>
    </w:p>
    <w:tbl>
      <w:tblPr>
        <w:tblW w:type="auto" w:w="0"/>
        <w:jc w:val="center"/>
        <w:tblLayout w:type="fixed"/>
        <w:tblLook w:firstColumn="1" w:firstRow="1" w:lastColumn="0" w:lastRow="0" w:noHBand="0" w:noVBand="1" w:val="04A0"/>
      </w:tblPr>
      <w:tblGrid>
        <w:gridCol w:w="9360"/>
      </w:tblGrid>
      <w:tr>
        <w:tc>
          <w:tcPr>
            <w:tcW w:type="dxa" w:w="9360"/>
            <w:tcMar>
              <w:top w:w="150" w:type="dxa"/>
              <w:start w:w="180" w:type="dxa"/>
              <w:bottom w:w="150" w:type="dxa"/>
              <w:end w:w="180" w:type="dxa"/>
            </w:tcMar>
            <w:shd w:fill="F2F4F7"/>
          </w:tcPr>
          <w:p>
            <w:pPr>
              <w:spacing w:after="0"/>
            </w:pPr>
            <w:r>
              <w:rPr>
                <w:rFonts w:ascii="Calibri" w:hAnsi="Calibri"/>
                <w:b/>
                <w:i w:val="0"/>
                <w:color w:val="0D1526"/>
                <w:sz w:val="21"/>
              </w:rPr>
              <w:t xml:space="preserve">INVESTMENT THESIS  </w:t>
            </w:r>
            <w:r>
              <w:rPr>
                <w:rFonts w:ascii="Calibri" w:hAnsi="Calibri"/>
                <w:b w:val="0"/>
                <w:i w:val="0"/>
                <w:color w:val="1A1A2E"/>
                <w:sz w:val="21"/>
              </w:rPr>
              <w:t>Mohasib is building the shared financial record between Moroccan businesses and their accountants. The product already spans the monthly financial cycle; new capital is intended to prove repeatable distribution, onboarding and partner-led expansion.</w:t>
            </w:r>
          </w:p>
        </w:tc>
      </w:tr>
    </w:tbl>
    <w:p>
      <w:pPr>
        <w:spacing w:after="20"/>
      </w:pPr>
    </w:p>
    <w:p>
      <w:pPr>
        <w:pStyle w:val="Heading1"/>
        <w:keepNext/>
      </w:pPr>
      <w:r>
        <w:t>1. Executive summary</w:t>
      </w:r>
    </w:p>
    <w:p>
      <w:pPr>
        <w:keepNext w:val="0"/>
        <w:spacing w:before="0" w:after="120" w:line="264" w:lineRule="auto"/>
      </w:pPr>
      <w:r>
        <w:rPr>
          <w:rFonts w:ascii="Calibri" w:hAnsi="Calibri"/>
          <w:b w:val="0"/>
          <w:i w:val="0"/>
          <w:color w:val="1A1A2E"/>
          <w:sz w:val="22"/>
        </w:rPr>
        <w:t>Moroccan businesses typically reconstruct financial truth across email, WhatsApp, spreadsheets and an accountant handoff. Mohasib connects those fragments into one workflow: capture documents, understand them with OCR and classification, operate invoicing/payments/payroll, and prepare accounting and tax outputs.</w:t>
      </w:r>
    </w:p>
    <w:p>
      <w:pPr>
        <w:keepNext w:val="0"/>
        <w:spacing w:before="0" w:after="120" w:line="264" w:lineRule="auto"/>
      </w:pPr>
      <w:r>
        <w:rPr>
          <w:rFonts w:ascii="Calibri" w:hAnsi="Calibri"/>
          <w:b w:val="0"/>
          <w:i w:val="0"/>
          <w:color w:val="1A1A2E"/>
          <w:sz w:val="22"/>
        </w:rPr>
        <w:t>The go-to-market wedge is permanent free invoicing. As operational complexity grows, customers pay for document processing, accounting, TVA, payroll, bank workflows and collaboration. Accounting firms add a second distribution surface: one firm can introduce and standardize Mohasib across many client spaces.</w:t>
      </w:r>
    </w:p>
    <w:p>
      <w:r>
        <w:br w:type="page"/>
      </w:r>
    </w:p>
    <w:p>
      <w:pPr>
        <w:pStyle w:val="Heading1"/>
        <w:keepNext/>
      </w:pPr>
      <w:r>
        <w:t>2. Company snapshot</w:t>
      </w:r>
    </w:p>
    <w:tbl>
      <w:tblPr>
        <w:tblW w:type="auto" w:w="0"/>
        <w:jc w:val="center"/>
        <w:tblLayout w:type="fixed"/>
        <w:tblLook w:firstColumn="1" w:firstRow="1" w:lastColumn="0" w:lastRow="0" w:noHBand="0" w:noVBand="1" w:val="04A0"/>
      </w:tblPr>
      <w:tblGrid>
        <w:gridCol w:w="3120"/>
        <w:gridCol w:w="3120"/>
        <w:gridCol w:w="3120"/>
      </w:tblGrid>
      <w:tr>
        <w:trPr>
          <w:tblHeader w:val="true"/>
          <w:cantSplit w:val="true"/>
        </w:trPr>
        <w:tc>
          <w:tcPr>
            <w:tcW w:type="dxa" w:w="1728"/>
            <w:tcMar>
              <w:top w:w="110" w:type="dxa"/>
              <w:start w:w="100" w:type="dxa"/>
              <w:bottom w:w="110" w:type="dxa"/>
              <w:end w:w="100" w:type="dxa"/>
            </w:tcMar>
            <w:shd w:fill="0D1526"/>
          </w:tcPr>
          <w:p>
            <w:pPr>
              <w:spacing w:after="0"/>
            </w:pPr>
            <w:r>
              <w:rPr>
                <w:rFonts w:ascii="Calibri" w:hAnsi="Calibri"/>
                <w:b/>
                <w:i w:val="0"/>
                <w:color w:val="FFFFFF"/>
                <w:sz w:val="18"/>
              </w:rPr>
              <w:t>Dimension</w:t>
            </w:r>
          </w:p>
        </w:tc>
        <w:tc>
          <w:tcPr>
            <w:tcW w:type="dxa" w:w="5112"/>
            <w:tcMar>
              <w:top w:w="110" w:type="dxa"/>
              <w:start w:w="100" w:type="dxa"/>
              <w:bottom w:w="110" w:type="dxa"/>
              <w:end w:w="100" w:type="dxa"/>
            </w:tcMar>
            <w:shd w:fill="0D1526"/>
          </w:tcPr>
          <w:p>
            <w:pPr>
              <w:spacing w:after="0"/>
            </w:pPr>
            <w:r>
              <w:rPr>
                <w:rFonts w:ascii="Calibri" w:hAnsi="Calibri"/>
                <w:b/>
                <w:i w:val="0"/>
                <w:color w:val="FFFFFF"/>
                <w:sz w:val="18"/>
              </w:rPr>
              <w:t>Current position</w:t>
            </w:r>
          </w:p>
        </w:tc>
        <w:tc>
          <w:tcPr>
            <w:tcW w:type="dxa" w:w="2520"/>
            <w:tcMar>
              <w:top w:w="110" w:type="dxa"/>
              <w:start w:w="100" w:type="dxa"/>
              <w:bottom w:w="110" w:type="dxa"/>
              <w:end w:w="100" w:type="dxa"/>
            </w:tcMar>
            <w:shd w:fill="0D1526"/>
          </w:tcPr>
          <w:p>
            <w:pPr>
              <w:spacing w:after="0"/>
            </w:pPr>
            <w:r>
              <w:rPr>
                <w:rFonts w:ascii="Calibri" w:hAnsi="Calibri"/>
                <w:b/>
                <w:i w:val="0"/>
                <w:color w:val="FFFFFF"/>
                <w:sz w:val="18"/>
              </w:rPr>
              <w:t>Evidence status</w:t>
            </w:r>
          </w:p>
        </w:tc>
      </w:tr>
      <w:tr>
        <w:trPr>
          <w:cantSplit w:val="true"/>
        </w:trPr>
        <w:tc>
          <w:tcPr>
            <w:tcW w:type="dxa" w:w="1728"/>
            <w:tcMar>
              <w:top w:w="95" w:type="dxa"/>
              <w:start w:w="100" w:type="dxa"/>
              <w:bottom w:w="95" w:type="dxa"/>
              <w:end w:w="100" w:type="dxa"/>
            </w:tcMar>
          </w:tcPr>
          <w:p>
            <w:pPr>
              <w:spacing w:after="0"/>
            </w:pPr>
            <w:r>
              <w:rPr>
                <w:rFonts w:ascii="Calibri" w:hAnsi="Calibri"/>
                <w:b w:val="0"/>
                <w:i w:val="0"/>
                <w:color w:val="1A1A2E"/>
                <w:sz w:val="17"/>
              </w:rPr>
              <w:t>Category</w:t>
            </w:r>
          </w:p>
        </w:tc>
        <w:tc>
          <w:tcPr>
            <w:tcW w:type="dxa" w:w="5112"/>
            <w:tcMar>
              <w:top w:w="95" w:type="dxa"/>
              <w:start w:w="100" w:type="dxa"/>
              <w:bottom w:w="95" w:type="dxa"/>
              <w:end w:w="100" w:type="dxa"/>
            </w:tcMar>
          </w:tcPr>
          <w:p>
            <w:pPr>
              <w:spacing w:after="0"/>
            </w:pPr>
            <w:r>
              <w:rPr>
                <w:rFonts w:ascii="Calibri" w:hAnsi="Calibri"/>
                <w:b w:val="0"/>
                <w:i w:val="0"/>
                <w:color w:val="1A1A2E"/>
                <w:sz w:val="17"/>
              </w:rPr>
              <w:t>Financial operating system for Moroccan businesses</w:t>
            </w:r>
          </w:p>
        </w:tc>
        <w:tc>
          <w:tcPr>
            <w:tcW w:type="dxa" w:w="2520"/>
            <w:tcMar>
              <w:top w:w="95" w:type="dxa"/>
              <w:start w:w="100" w:type="dxa"/>
              <w:bottom w:w="95" w:type="dxa"/>
              <w:end w:w="100" w:type="dxa"/>
            </w:tcMar>
          </w:tcPr>
          <w:p>
            <w:pPr>
              <w:spacing w:after="0"/>
            </w:pPr>
            <w:r>
              <w:rPr>
                <w:rFonts w:ascii="Calibri" w:hAnsi="Calibri"/>
                <w:b w:val="0"/>
                <w:i w:val="0"/>
                <w:color w:val="1A1A2E"/>
                <w:sz w:val="17"/>
              </w:rPr>
              <w:t>Company positioning</w:t>
            </w:r>
          </w:p>
        </w:tc>
      </w:tr>
      <w:tr>
        <w:trPr>
          <w:cantSplit w:val="true"/>
        </w:trPr>
        <w:tc>
          <w:tcPr>
            <w:tcW w:type="dxa" w:w="1728"/>
            <w:tcMar>
              <w:top w:w="95" w:type="dxa"/>
              <w:start w:w="100" w:type="dxa"/>
              <w:bottom w:w="95" w:type="dxa"/>
              <w:end w:w="100" w:type="dxa"/>
            </w:tcMar>
            <w:shd w:fill="F8F9FB"/>
          </w:tcPr>
          <w:p>
            <w:pPr>
              <w:spacing w:after="0"/>
            </w:pPr>
            <w:r>
              <w:rPr>
                <w:rFonts w:ascii="Calibri" w:hAnsi="Calibri"/>
                <w:b w:val="0"/>
                <w:i w:val="0"/>
                <w:color w:val="1A1A2E"/>
                <w:sz w:val="17"/>
              </w:rPr>
              <w:t>Stage</w:t>
            </w:r>
          </w:p>
        </w:tc>
        <w:tc>
          <w:tcPr>
            <w:tcW w:type="dxa" w:w="5112"/>
            <w:tcMar>
              <w:top w:w="95" w:type="dxa"/>
              <w:start w:w="100" w:type="dxa"/>
              <w:bottom w:w="95" w:type="dxa"/>
              <w:end w:w="100" w:type="dxa"/>
            </w:tcMar>
            <w:shd w:fill="F8F9FB"/>
          </w:tcPr>
          <w:p>
            <w:pPr>
              <w:spacing w:after="0"/>
            </w:pPr>
            <w:r>
              <w:rPr>
                <w:rFonts w:ascii="Calibri" w:hAnsi="Calibri"/>
                <w:b w:val="0"/>
                <w:i w:val="0"/>
                <w:color w:val="1A1A2E"/>
                <w:sz w:val="17"/>
              </w:rPr>
              <w:t>Pre-seed; founder-led product and go-to-market</w:t>
            </w:r>
          </w:p>
        </w:tc>
        <w:tc>
          <w:tcPr>
            <w:tcW w:type="dxa" w:w="2520"/>
            <w:tcMar>
              <w:top w:w="95" w:type="dxa"/>
              <w:start w:w="100" w:type="dxa"/>
              <w:bottom w:w="95" w:type="dxa"/>
              <w:end w:w="100" w:type="dxa"/>
            </w:tcMar>
            <w:shd w:fill="F8F9FB"/>
          </w:tcPr>
          <w:p>
            <w:pPr>
              <w:spacing w:after="0"/>
            </w:pPr>
            <w:r>
              <w:rPr>
                <w:rFonts w:ascii="Calibri" w:hAnsi="Calibri"/>
                <w:b w:val="0"/>
                <w:i w:val="0"/>
                <w:color w:val="1A1A2E"/>
                <w:sz w:val="17"/>
              </w:rPr>
              <w:t>Deck-stated</w:t>
            </w:r>
          </w:p>
        </w:tc>
      </w:tr>
      <w:tr>
        <w:trPr>
          <w:cantSplit w:val="true"/>
        </w:trPr>
        <w:tc>
          <w:tcPr>
            <w:tcW w:type="dxa" w:w="1728"/>
            <w:tcMar>
              <w:top w:w="95" w:type="dxa"/>
              <w:start w:w="100" w:type="dxa"/>
              <w:bottom w:w="95" w:type="dxa"/>
              <w:end w:w="100" w:type="dxa"/>
            </w:tcMar>
          </w:tcPr>
          <w:p>
            <w:pPr>
              <w:spacing w:after="0"/>
            </w:pPr>
            <w:r>
              <w:rPr>
                <w:rFonts w:ascii="Calibri" w:hAnsi="Calibri"/>
                <w:b w:val="0"/>
                <w:i w:val="0"/>
                <w:color w:val="1A1A2E"/>
                <w:sz w:val="17"/>
              </w:rPr>
              <w:t>Product</w:t>
            </w:r>
          </w:p>
        </w:tc>
        <w:tc>
          <w:tcPr>
            <w:tcW w:type="dxa" w:w="5112"/>
            <w:tcMar>
              <w:top w:w="95" w:type="dxa"/>
              <w:start w:w="100" w:type="dxa"/>
              <w:bottom w:w="95" w:type="dxa"/>
              <w:end w:w="100" w:type="dxa"/>
            </w:tcMar>
          </w:tcPr>
          <w:p>
            <w:pPr>
              <w:spacing w:after="0"/>
            </w:pPr>
            <w:r>
              <w:rPr>
                <w:rFonts w:ascii="Calibri" w:hAnsi="Calibri"/>
                <w:b w:val="0"/>
                <w:i w:val="0"/>
                <w:color w:val="1A1A2E"/>
                <w:sz w:val="17"/>
              </w:rPr>
              <w:t>Production-shaped web platform covering the core financial cycle</w:t>
            </w:r>
          </w:p>
        </w:tc>
        <w:tc>
          <w:tcPr>
            <w:tcW w:type="dxa" w:w="2520"/>
            <w:tcMar>
              <w:top w:w="95" w:type="dxa"/>
              <w:start w:w="100" w:type="dxa"/>
              <w:bottom w:w="95" w:type="dxa"/>
              <w:end w:w="100" w:type="dxa"/>
            </w:tcMar>
          </w:tcPr>
          <w:p>
            <w:pPr>
              <w:spacing w:after="0"/>
            </w:pPr>
            <w:r>
              <w:rPr>
                <w:rFonts w:ascii="Calibri" w:hAnsi="Calibri"/>
                <w:b w:val="0"/>
                <w:i w:val="0"/>
                <w:color w:val="1A1A2E"/>
                <w:sz w:val="17"/>
              </w:rPr>
              <w:t>Repository + audit</w:t>
            </w:r>
          </w:p>
        </w:tc>
      </w:tr>
      <w:tr>
        <w:trPr>
          <w:cantSplit w:val="true"/>
        </w:trPr>
        <w:tc>
          <w:tcPr>
            <w:tcW w:type="dxa" w:w="1728"/>
            <w:tcMar>
              <w:top w:w="95" w:type="dxa"/>
              <w:start w:w="100" w:type="dxa"/>
              <w:bottom w:w="95" w:type="dxa"/>
              <w:end w:w="100" w:type="dxa"/>
            </w:tcMar>
            <w:shd w:fill="F8F9FB"/>
          </w:tcPr>
          <w:p>
            <w:pPr>
              <w:spacing w:after="0"/>
            </w:pPr>
            <w:r>
              <w:rPr>
                <w:rFonts w:ascii="Calibri" w:hAnsi="Calibri"/>
                <w:b w:val="0"/>
                <w:i w:val="0"/>
                <w:color w:val="1A1A2E"/>
                <w:sz w:val="17"/>
              </w:rPr>
              <w:t>Primary users</w:t>
            </w:r>
          </w:p>
        </w:tc>
        <w:tc>
          <w:tcPr>
            <w:tcW w:type="dxa" w:w="5112"/>
            <w:tcMar>
              <w:top w:w="95" w:type="dxa"/>
              <w:start w:w="100" w:type="dxa"/>
              <w:bottom w:w="95" w:type="dxa"/>
              <w:end w:w="100" w:type="dxa"/>
            </w:tcMar>
            <w:shd w:fill="F8F9FB"/>
          </w:tcPr>
          <w:p>
            <w:pPr>
              <w:spacing w:after="0"/>
            </w:pPr>
            <w:r>
              <w:rPr>
                <w:rFonts w:ascii="Calibri" w:hAnsi="Calibri"/>
                <w:b w:val="0"/>
                <w:i w:val="0"/>
                <w:color w:val="1A1A2E"/>
                <w:sz w:val="17"/>
              </w:rPr>
              <w:t>Business owners, accountants and accounting firms</w:t>
            </w:r>
          </w:p>
        </w:tc>
        <w:tc>
          <w:tcPr>
            <w:tcW w:type="dxa" w:w="2520"/>
            <w:tcMar>
              <w:top w:w="95" w:type="dxa"/>
              <w:start w:w="100" w:type="dxa"/>
              <w:bottom w:w="95" w:type="dxa"/>
              <w:end w:w="100" w:type="dxa"/>
            </w:tcMar>
            <w:shd w:fill="F8F9FB"/>
          </w:tcPr>
          <w:p>
            <w:pPr>
              <w:spacing w:after="0"/>
            </w:pPr>
            <w:r>
              <w:rPr>
                <w:rFonts w:ascii="Calibri" w:hAnsi="Calibri"/>
                <w:b w:val="0"/>
                <w:i w:val="0"/>
                <w:color w:val="1A1A2E"/>
                <w:sz w:val="17"/>
              </w:rPr>
              <w:t>Product + deck</w:t>
            </w:r>
          </w:p>
        </w:tc>
      </w:tr>
      <w:tr>
        <w:trPr>
          <w:cantSplit w:val="true"/>
        </w:trPr>
        <w:tc>
          <w:tcPr>
            <w:tcW w:type="dxa" w:w="1728"/>
            <w:tcMar>
              <w:top w:w="95" w:type="dxa"/>
              <w:start w:w="100" w:type="dxa"/>
              <w:bottom w:w="95" w:type="dxa"/>
              <w:end w:w="100" w:type="dxa"/>
            </w:tcMar>
          </w:tcPr>
          <w:p>
            <w:pPr>
              <w:spacing w:after="0"/>
            </w:pPr>
            <w:r>
              <w:rPr>
                <w:rFonts w:ascii="Calibri" w:hAnsi="Calibri"/>
                <w:b w:val="0"/>
                <w:i w:val="0"/>
                <w:color w:val="1A1A2E"/>
                <w:sz w:val="17"/>
              </w:rPr>
              <w:t>Wedge</w:t>
            </w:r>
          </w:p>
        </w:tc>
        <w:tc>
          <w:tcPr>
            <w:tcW w:type="dxa" w:w="5112"/>
            <w:tcMar>
              <w:top w:w="95" w:type="dxa"/>
              <w:start w:w="100" w:type="dxa"/>
              <w:bottom w:w="95" w:type="dxa"/>
              <w:end w:w="100" w:type="dxa"/>
            </w:tcMar>
          </w:tcPr>
          <w:p>
            <w:pPr>
              <w:spacing w:after="0"/>
            </w:pPr>
            <w:r>
              <w:rPr>
                <w:rFonts w:ascii="Calibri" w:hAnsi="Calibri"/>
                <w:b w:val="0"/>
                <w:i w:val="0"/>
                <w:color w:val="1A1A2E"/>
                <w:sz w:val="17"/>
              </w:rPr>
              <w:t>Permanent free invoicing; expansion into paid workflows</w:t>
            </w:r>
          </w:p>
        </w:tc>
        <w:tc>
          <w:tcPr>
            <w:tcW w:type="dxa" w:w="2520"/>
            <w:tcMar>
              <w:top w:w="95" w:type="dxa"/>
              <w:start w:w="100" w:type="dxa"/>
              <w:bottom w:w="95" w:type="dxa"/>
              <w:end w:w="100" w:type="dxa"/>
            </w:tcMar>
          </w:tcPr>
          <w:p>
            <w:pPr>
              <w:spacing w:after="0"/>
            </w:pPr>
            <w:r>
              <w:rPr>
                <w:rFonts w:ascii="Calibri" w:hAnsi="Calibri"/>
                <w:b w:val="0"/>
                <w:i w:val="0"/>
                <w:color w:val="1A1A2E"/>
                <w:sz w:val="17"/>
              </w:rPr>
              <w:t>Pricing/product</w:t>
            </w:r>
          </w:p>
        </w:tc>
      </w:tr>
      <w:tr>
        <w:trPr>
          <w:cantSplit w:val="true"/>
        </w:trPr>
        <w:tc>
          <w:tcPr>
            <w:tcW w:type="dxa" w:w="1728"/>
            <w:tcMar>
              <w:top w:w="95" w:type="dxa"/>
              <w:start w:w="100" w:type="dxa"/>
              <w:bottom w:w="95" w:type="dxa"/>
              <w:end w:w="100" w:type="dxa"/>
            </w:tcMar>
            <w:shd w:fill="F8F9FB"/>
          </w:tcPr>
          <w:p>
            <w:pPr>
              <w:spacing w:after="0"/>
            </w:pPr>
            <w:r>
              <w:rPr>
                <w:rFonts w:ascii="Calibri" w:hAnsi="Calibri"/>
                <w:b w:val="0"/>
                <w:i w:val="0"/>
                <w:color w:val="1A1A2E"/>
                <w:sz w:val="17"/>
              </w:rPr>
              <w:t>Pricing</w:t>
            </w:r>
          </w:p>
        </w:tc>
        <w:tc>
          <w:tcPr>
            <w:tcW w:type="dxa" w:w="5112"/>
            <w:tcMar>
              <w:top w:w="95" w:type="dxa"/>
              <w:start w:w="100" w:type="dxa"/>
              <w:bottom w:w="95" w:type="dxa"/>
              <w:end w:w="100" w:type="dxa"/>
            </w:tcMar>
            <w:shd w:fill="F8F9FB"/>
          </w:tcPr>
          <w:p>
            <w:pPr>
              <w:spacing w:after="0"/>
            </w:pPr>
            <w:r>
              <w:rPr>
                <w:rFonts w:ascii="Calibri" w:hAnsi="Calibri"/>
                <w:b w:val="0"/>
                <w:i w:val="0"/>
                <w:color w:val="1A1A2E"/>
                <w:sz w:val="17"/>
              </w:rPr>
              <w:t>Entreprise Flex from 299 MAD TTC/month; Cabinet Flex from 499 MAD TTC/month</w:t>
            </w:r>
          </w:p>
        </w:tc>
        <w:tc>
          <w:tcPr>
            <w:tcW w:type="dxa" w:w="2520"/>
            <w:tcMar>
              <w:top w:w="95" w:type="dxa"/>
              <w:start w:w="100" w:type="dxa"/>
              <w:bottom w:w="95" w:type="dxa"/>
              <w:end w:w="100" w:type="dxa"/>
            </w:tcMar>
            <w:shd w:fill="F8F9FB"/>
          </w:tcPr>
          <w:p>
            <w:pPr>
              <w:spacing w:after="0"/>
            </w:pPr>
            <w:r>
              <w:rPr>
                <w:rFonts w:ascii="Calibri" w:hAnsi="Calibri"/>
                <w:b w:val="0"/>
                <w:i w:val="0"/>
                <w:color w:val="1A1A2E"/>
                <w:sz w:val="17"/>
              </w:rPr>
              <w:t>Current local pricing code</w:t>
            </w:r>
          </w:p>
        </w:tc>
      </w:tr>
      <w:tr>
        <w:trPr>
          <w:cantSplit w:val="true"/>
        </w:trPr>
        <w:tc>
          <w:tcPr>
            <w:tcW w:type="dxa" w:w="1728"/>
            <w:tcMar>
              <w:top w:w="95" w:type="dxa"/>
              <w:start w:w="100" w:type="dxa"/>
              <w:bottom w:w="95" w:type="dxa"/>
              <w:end w:w="100" w:type="dxa"/>
            </w:tcMar>
          </w:tcPr>
          <w:p>
            <w:pPr>
              <w:spacing w:after="0"/>
            </w:pPr>
            <w:r>
              <w:rPr>
                <w:rFonts w:ascii="Calibri" w:hAnsi="Calibri"/>
                <w:b w:val="0"/>
                <w:i w:val="0"/>
                <w:color w:val="1A1A2E"/>
                <w:sz w:val="17"/>
              </w:rPr>
              <w:t>Traction</w:t>
            </w:r>
          </w:p>
        </w:tc>
        <w:tc>
          <w:tcPr>
            <w:tcW w:type="dxa" w:w="5112"/>
            <w:tcMar>
              <w:top w:w="95" w:type="dxa"/>
              <w:start w:w="100" w:type="dxa"/>
              <w:bottom w:w="95" w:type="dxa"/>
              <w:end w:w="100" w:type="dxa"/>
            </w:tcMar>
          </w:tcPr>
          <w:p>
            <w:pPr>
              <w:spacing w:after="0"/>
            </w:pPr>
            <w:r>
              <w:rPr>
                <w:rFonts w:ascii="Calibri" w:hAnsi="Calibri"/>
                <w:b w:val="0"/>
                <w:i w:val="0"/>
                <w:color w:val="1A1A2E"/>
                <w:sz w:val="17"/>
              </w:rPr>
              <w:t>Customer, usage and revenue figures not provided in the workspace</w:t>
            </w:r>
          </w:p>
        </w:tc>
        <w:tc>
          <w:tcPr>
            <w:tcW w:type="dxa" w:w="2520"/>
            <w:tcMar>
              <w:top w:w="95" w:type="dxa"/>
              <w:start w:w="100" w:type="dxa"/>
              <w:bottom w:w="95" w:type="dxa"/>
              <w:end w:w="100" w:type="dxa"/>
            </w:tcMar>
          </w:tcPr>
          <w:p>
            <w:pPr>
              <w:spacing w:after="0"/>
            </w:pPr>
            <w:r>
              <w:rPr>
                <w:rFonts w:ascii="Calibri" w:hAnsi="Calibri"/>
                <w:b w:val="0"/>
                <w:i w:val="0"/>
                <w:color w:val="1A1A2E"/>
                <w:sz w:val="17"/>
              </w:rPr>
              <w:t>Founder input required</w:t>
            </w:r>
          </w:p>
        </w:tc>
      </w:tr>
    </w:tbl>
    <w:p>
      <w:pPr>
        <w:spacing w:after="20"/>
      </w:pPr>
    </w:p>
    <w:p>
      <w:pPr>
        <w:pStyle w:val="Heading1"/>
        <w:keepNext/>
      </w:pPr>
      <w:r>
        <w:t>3. The problem and why now</w:t>
      </w:r>
    </w:p>
    <w:p>
      <w:pPr>
        <w:pStyle w:val="Heading2"/>
        <w:keepNext/>
      </w:pPr>
      <w:r>
        <w:t>A broken monthly close</w:t>
      </w:r>
    </w:p>
    <w:p>
      <w:pPr>
        <w:pStyle w:val="ListBullet"/>
        <w:spacing w:after="100" w:line="264" w:lineRule="auto"/>
        <w:ind w:left="720" w:hanging="360"/>
      </w:pPr>
      <w:r>
        <w:rPr>
          <w:rFonts w:ascii="Calibri" w:hAnsi="Calibri"/>
          <w:b w:val="0"/>
          <w:i w:val="0"/>
          <w:color w:val="1A1A2E"/>
          <w:sz w:val="21"/>
        </w:rPr>
        <w:t>Supplier invoices arrive through fragmented channels and are difficult to retrieve consistently.</w:t>
      </w:r>
    </w:p>
    <w:p>
      <w:pPr>
        <w:pStyle w:val="ListBullet"/>
        <w:spacing w:after="100" w:line="264" w:lineRule="auto"/>
        <w:ind w:left="720" w:hanging="360"/>
      </w:pPr>
      <w:r>
        <w:rPr>
          <w:rFonts w:ascii="Calibri" w:hAnsi="Calibri"/>
          <w:b w:val="0"/>
          <w:i w:val="0"/>
          <w:color w:val="1A1A2E"/>
          <w:sz w:val="21"/>
        </w:rPr>
        <w:t>Receipts, reminders and approvals live in messaging apps without structured links to transactions.</w:t>
      </w:r>
    </w:p>
    <w:p>
      <w:pPr>
        <w:pStyle w:val="ListBullet"/>
        <w:spacing w:after="100" w:line="264" w:lineRule="auto"/>
        <w:ind w:left="720" w:hanging="360"/>
      </w:pPr>
      <w:r>
        <w:rPr>
          <w:rFonts w:ascii="Calibri" w:hAnsi="Calibri"/>
          <w:b w:val="0"/>
          <w:i w:val="0"/>
          <w:color w:val="1A1A2E"/>
          <w:sz w:val="21"/>
        </w:rPr>
        <w:t>Cash, payroll and tax are reconciled manually in spreadsheets.</w:t>
      </w:r>
    </w:p>
    <w:p>
      <w:pPr>
        <w:pStyle w:val="ListBullet"/>
        <w:spacing w:after="100" w:line="264" w:lineRule="auto"/>
        <w:ind w:left="720" w:hanging="360"/>
      </w:pPr>
      <w:r>
        <w:rPr>
          <w:rFonts w:ascii="Calibri" w:hAnsi="Calibri"/>
          <w:b w:val="0"/>
          <w:i w:val="0"/>
          <w:color w:val="1A1A2E"/>
          <w:sz w:val="21"/>
        </w:rPr>
        <w:t>The accountant receives an incomplete package late, creating rework and slow closes.</w:t>
      </w:r>
    </w:p>
    <w:p>
      <w:pPr>
        <w:pStyle w:val="Heading2"/>
        <w:keepNext/>
      </w:pPr>
      <w:r>
        <w:t>Timing</w:t>
      </w:r>
    </w:p>
    <w:p>
      <w:pPr>
        <w:keepNext w:val="0"/>
        <w:spacing w:before="0" w:after="120" w:line="264" w:lineRule="auto"/>
      </w:pPr>
      <w:r>
        <w:rPr>
          <w:rFonts w:ascii="Calibri" w:hAnsi="Calibri"/>
          <w:b w:val="0"/>
          <w:i w:val="0"/>
          <w:color w:val="1A1A2E"/>
          <w:sz w:val="22"/>
        </w:rPr>
        <w:t>The deck’s market case combines three trends: a growing formal business base, national electronic company creation, and AI that can now read and structure financial paperwork. The cited bottom-up beachhead uses approximately 380,000 tax-filing corporate entities and 95,235 companies created in 2024. These are market-context figures, not company traction.</w:t>
      </w:r>
    </w:p>
    <w:p>
      <w:pPr>
        <w:pStyle w:val="Heading1"/>
        <w:keepNext/>
      </w:pPr>
      <w:r>
        <w:t>4. Product and workflow</w:t>
      </w:r>
    </w:p>
    <w:tbl>
      <w:tblPr>
        <w:tblW w:type="auto" w:w="0"/>
        <w:jc w:val="center"/>
        <w:tblLayout w:type="fixed"/>
        <w:tblLook w:firstColumn="1" w:firstRow="1" w:lastColumn="0" w:lastRow="0" w:noHBand="0" w:noVBand="1" w:val="04A0"/>
      </w:tblPr>
      <w:tblGrid>
        <w:gridCol w:w="3120"/>
        <w:gridCol w:w="3120"/>
        <w:gridCol w:w="3120"/>
      </w:tblGrid>
      <w:tr>
        <w:trPr>
          <w:tblHeader w:val="true"/>
          <w:cantSplit w:val="true"/>
        </w:trPr>
        <w:tc>
          <w:tcPr>
            <w:tcW w:type="dxa" w:w="1656"/>
            <w:tcMar>
              <w:top w:w="110" w:type="dxa"/>
              <w:start w:w="100" w:type="dxa"/>
              <w:bottom w:w="110" w:type="dxa"/>
              <w:end w:w="100" w:type="dxa"/>
            </w:tcMar>
            <w:shd w:fill="0D1526"/>
          </w:tcPr>
          <w:p>
            <w:pPr>
              <w:spacing w:after="0"/>
            </w:pPr>
            <w:r>
              <w:rPr>
                <w:rFonts w:ascii="Calibri" w:hAnsi="Calibri"/>
                <w:b/>
                <w:i w:val="0"/>
                <w:color w:val="FFFFFF"/>
                <w:sz w:val="18"/>
              </w:rPr>
              <w:t>Workflow stage</w:t>
            </w:r>
          </w:p>
        </w:tc>
        <w:tc>
          <w:tcPr>
            <w:tcW w:type="dxa" w:w="4320"/>
            <w:tcMar>
              <w:top w:w="110" w:type="dxa"/>
              <w:start w:w="100" w:type="dxa"/>
              <w:bottom w:w="110" w:type="dxa"/>
              <w:end w:w="100" w:type="dxa"/>
            </w:tcMar>
            <w:shd w:fill="0D1526"/>
          </w:tcPr>
          <w:p>
            <w:pPr>
              <w:spacing w:after="0"/>
            </w:pPr>
            <w:r>
              <w:rPr>
                <w:rFonts w:ascii="Calibri" w:hAnsi="Calibri"/>
                <w:b/>
                <w:i w:val="0"/>
                <w:color w:val="FFFFFF"/>
                <w:sz w:val="18"/>
              </w:rPr>
              <w:t>Mohasib capability</w:t>
            </w:r>
          </w:p>
        </w:tc>
        <w:tc>
          <w:tcPr>
            <w:tcW w:type="dxa" w:w="3384"/>
            <w:tcMar>
              <w:top w:w="110" w:type="dxa"/>
              <w:start w:w="100" w:type="dxa"/>
              <w:bottom w:w="110" w:type="dxa"/>
              <w:end w:w="100" w:type="dxa"/>
            </w:tcMar>
            <w:shd w:fill="0D1526"/>
          </w:tcPr>
          <w:p>
            <w:pPr>
              <w:spacing w:after="0"/>
            </w:pPr>
            <w:r>
              <w:rPr>
                <w:rFonts w:ascii="Calibri" w:hAnsi="Calibri"/>
                <w:b/>
                <w:i w:val="0"/>
                <w:color w:val="FFFFFF"/>
                <w:sz w:val="18"/>
              </w:rPr>
              <w:t>Customer outcome</w:t>
            </w:r>
          </w:p>
        </w:tc>
      </w:tr>
      <w:tr>
        <w:trPr>
          <w:cantSplit w:val="true"/>
        </w:trPr>
        <w:tc>
          <w:tcPr>
            <w:tcW w:type="dxa" w:w="1656"/>
            <w:tcMar>
              <w:top w:w="95" w:type="dxa"/>
              <w:start w:w="100" w:type="dxa"/>
              <w:bottom w:w="95" w:type="dxa"/>
              <w:end w:w="100" w:type="dxa"/>
            </w:tcMar>
          </w:tcPr>
          <w:p>
            <w:pPr>
              <w:spacing w:after="0"/>
            </w:pPr>
            <w:r>
              <w:rPr>
                <w:rFonts w:ascii="Calibri" w:hAnsi="Calibri"/>
                <w:b w:val="0"/>
                <w:i w:val="0"/>
                <w:color w:val="1A1A2E"/>
                <w:sz w:val="17"/>
              </w:rPr>
              <w:t>Capture</w:t>
            </w:r>
          </w:p>
        </w:tc>
        <w:tc>
          <w:tcPr>
            <w:tcW w:type="dxa" w:w="4320"/>
            <w:tcMar>
              <w:top w:w="95" w:type="dxa"/>
              <w:start w:w="100" w:type="dxa"/>
              <w:bottom w:w="95" w:type="dxa"/>
              <w:end w:w="100" w:type="dxa"/>
            </w:tcMar>
          </w:tcPr>
          <w:p>
            <w:pPr>
              <w:spacing w:after="0"/>
            </w:pPr>
            <w:r>
              <w:rPr>
                <w:rFonts w:ascii="Calibri" w:hAnsi="Calibri"/>
                <w:b w:val="0"/>
                <w:i w:val="0"/>
                <w:color w:val="1A1A2E"/>
                <w:sz w:val="17"/>
              </w:rPr>
              <w:t>Email intake, upload, document archive, Google Drive archive</w:t>
            </w:r>
          </w:p>
        </w:tc>
        <w:tc>
          <w:tcPr>
            <w:tcW w:type="dxa" w:w="3384"/>
            <w:tcMar>
              <w:top w:w="95" w:type="dxa"/>
              <w:start w:w="100" w:type="dxa"/>
              <w:bottom w:w="95" w:type="dxa"/>
              <w:end w:w="100" w:type="dxa"/>
            </w:tcMar>
          </w:tcPr>
          <w:p>
            <w:pPr>
              <w:spacing w:after="0"/>
            </w:pPr>
            <w:r>
              <w:rPr>
                <w:rFonts w:ascii="Calibri" w:hAnsi="Calibri"/>
                <w:b w:val="0"/>
                <w:i w:val="0"/>
                <w:color w:val="1A1A2E"/>
                <w:sz w:val="17"/>
              </w:rPr>
              <w:t>One intake path and retrievable evidence</w:t>
            </w:r>
          </w:p>
        </w:tc>
      </w:tr>
      <w:tr>
        <w:trPr>
          <w:cantSplit w:val="true"/>
        </w:trPr>
        <w:tc>
          <w:tcPr>
            <w:tcW w:type="dxa" w:w="1656"/>
            <w:tcMar>
              <w:top w:w="95" w:type="dxa"/>
              <w:start w:w="100" w:type="dxa"/>
              <w:bottom w:w="95" w:type="dxa"/>
              <w:end w:w="100" w:type="dxa"/>
            </w:tcMar>
            <w:shd w:fill="F8F9FB"/>
          </w:tcPr>
          <w:p>
            <w:pPr>
              <w:spacing w:after="0"/>
            </w:pPr>
            <w:r>
              <w:rPr>
                <w:rFonts w:ascii="Calibri" w:hAnsi="Calibri"/>
                <w:b w:val="0"/>
                <w:i w:val="0"/>
                <w:color w:val="1A1A2E"/>
                <w:sz w:val="17"/>
              </w:rPr>
              <w:t>Understand</w:t>
            </w:r>
          </w:p>
        </w:tc>
        <w:tc>
          <w:tcPr>
            <w:tcW w:type="dxa" w:w="4320"/>
            <w:tcMar>
              <w:top w:w="95" w:type="dxa"/>
              <w:start w:w="100" w:type="dxa"/>
              <w:bottom w:w="95" w:type="dxa"/>
              <w:end w:w="100" w:type="dxa"/>
            </w:tcMar>
            <w:shd w:fill="F8F9FB"/>
          </w:tcPr>
          <w:p>
            <w:pPr>
              <w:spacing w:after="0"/>
            </w:pPr>
            <w:r>
              <w:rPr>
                <w:rFonts w:ascii="Calibri" w:hAnsi="Calibri"/>
                <w:b w:val="0"/>
                <w:i w:val="0"/>
                <w:color w:val="1A1A2E"/>
                <w:sz w:val="17"/>
              </w:rPr>
              <w:t>OCR, document classification, controls, matching</w:t>
            </w:r>
          </w:p>
        </w:tc>
        <w:tc>
          <w:tcPr>
            <w:tcW w:type="dxa" w:w="3384"/>
            <w:tcMar>
              <w:top w:w="95" w:type="dxa"/>
              <w:start w:w="100" w:type="dxa"/>
              <w:bottom w:w="95" w:type="dxa"/>
              <w:end w:w="100" w:type="dxa"/>
            </w:tcMar>
            <w:shd w:fill="F8F9FB"/>
          </w:tcPr>
          <w:p>
            <w:pPr>
              <w:spacing w:after="0"/>
            </w:pPr>
            <w:r>
              <w:rPr>
                <w:rFonts w:ascii="Calibri" w:hAnsi="Calibri"/>
                <w:b w:val="0"/>
                <w:i w:val="0"/>
                <w:color w:val="1A1A2E"/>
                <w:sz w:val="17"/>
              </w:rPr>
              <w:t>Less manual entry; exceptions become visible</w:t>
            </w:r>
          </w:p>
        </w:tc>
      </w:tr>
      <w:tr>
        <w:trPr>
          <w:cantSplit w:val="true"/>
        </w:trPr>
        <w:tc>
          <w:tcPr>
            <w:tcW w:type="dxa" w:w="1656"/>
            <w:tcMar>
              <w:top w:w="95" w:type="dxa"/>
              <w:start w:w="100" w:type="dxa"/>
              <w:bottom w:w="95" w:type="dxa"/>
              <w:end w:w="100" w:type="dxa"/>
            </w:tcMar>
          </w:tcPr>
          <w:p>
            <w:pPr>
              <w:spacing w:after="0"/>
            </w:pPr>
            <w:r>
              <w:rPr>
                <w:rFonts w:ascii="Calibri" w:hAnsi="Calibri"/>
                <w:b w:val="0"/>
                <w:i w:val="0"/>
                <w:color w:val="1A1A2E"/>
                <w:sz w:val="17"/>
              </w:rPr>
              <w:t>Operate</w:t>
            </w:r>
          </w:p>
        </w:tc>
        <w:tc>
          <w:tcPr>
            <w:tcW w:type="dxa" w:w="4320"/>
            <w:tcMar>
              <w:top w:w="95" w:type="dxa"/>
              <w:start w:w="100" w:type="dxa"/>
              <w:bottom w:w="95" w:type="dxa"/>
              <w:end w:w="100" w:type="dxa"/>
            </w:tcMar>
          </w:tcPr>
          <w:p>
            <w:pPr>
              <w:spacing w:after="0"/>
            </w:pPr>
            <w:r>
              <w:rPr>
                <w:rFonts w:ascii="Calibri" w:hAnsi="Calibri"/>
                <w:b w:val="0"/>
                <w:i w:val="0"/>
                <w:color w:val="1A1A2E"/>
                <w:sz w:val="17"/>
              </w:rPr>
              <w:t>Invoices, quotes, credit notes, payment tracking, treasury and payroll</w:t>
            </w:r>
          </w:p>
        </w:tc>
        <w:tc>
          <w:tcPr>
            <w:tcW w:type="dxa" w:w="3384"/>
            <w:tcMar>
              <w:top w:w="95" w:type="dxa"/>
              <w:start w:w="100" w:type="dxa"/>
              <w:bottom w:w="95" w:type="dxa"/>
              <w:end w:w="100" w:type="dxa"/>
            </w:tcMar>
          </w:tcPr>
          <w:p>
            <w:pPr>
              <w:spacing w:after="0"/>
            </w:pPr>
            <w:r>
              <w:rPr>
                <w:rFonts w:ascii="Calibri" w:hAnsi="Calibri"/>
                <w:b w:val="0"/>
                <w:i w:val="0"/>
                <w:color w:val="1A1A2E"/>
                <w:sz w:val="17"/>
              </w:rPr>
              <w:t>Daily financial operations in one record</w:t>
            </w:r>
          </w:p>
        </w:tc>
      </w:tr>
      <w:tr>
        <w:trPr>
          <w:cantSplit w:val="true"/>
        </w:trPr>
        <w:tc>
          <w:tcPr>
            <w:tcW w:type="dxa" w:w="1656"/>
            <w:tcMar>
              <w:top w:w="95" w:type="dxa"/>
              <w:start w:w="100" w:type="dxa"/>
              <w:bottom w:w="95" w:type="dxa"/>
              <w:end w:w="100" w:type="dxa"/>
            </w:tcMar>
            <w:shd w:fill="F8F9FB"/>
          </w:tcPr>
          <w:p>
            <w:pPr>
              <w:spacing w:after="0"/>
            </w:pPr>
            <w:r>
              <w:rPr>
                <w:rFonts w:ascii="Calibri" w:hAnsi="Calibri"/>
                <w:b w:val="0"/>
                <w:i w:val="0"/>
                <w:color w:val="1A1A2E"/>
                <w:sz w:val="17"/>
              </w:rPr>
              <w:t>Account</w:t>
            </w:r>
          </w:p>
        </w:tc>
        <w:tc>
          <w:tcPr>
            <w:tcW w:type="dxa" w:w="4320"/>
            <w:tcMar>
              <w:top w:w="95" w:type="dxa"/>
              <w:start w:w="100" w:type="dxa"/>
              <w:bottom w:w="95" w:type="dxa"/>
              <w:end w:w="100" w:type="dxa"/>
            </w:tcMar>
            <w:shd w:fill="F8F9FB"/>
          </w:tcPr>
          <w:p>
            <w:pPr>
              <w:spacing w:after="0"/>
            </w:pPr>
            <w:r>
              <w:rPr>
                <w:rFonts w:ascii="Calibri" w:hAnsi="Calibri"/>
                <w:b w:val="0"/>
                <w:i w:val="0"/>
                <w:color w:val="1A1A2E"/>
                <w:sz w:val="17"/>
              </w:rPr>
              <w:t>Automatic entries, journal entry, ledger, reconciliation and CGNC mapping</w:t>
            </w:r>
          </w:p>
        </w:tc>
        <w:tc>
          <w:tcPr>
            <w:tcW w:type="dxa" w:w="3384"/>
            <w:tcMar>
              <w:top w:w="95" w:type="dxa"/>
              <w:start w:w="100" w:type="dxa"/>
              <w:bottom w:w="95" w:type="dxa"/>
              <w:end w:w="100" w:type="dxa"/>
            </w:tcMar>
            <w:shd w:fill="F8F9FB"/>
          </w:tcPr>
          <w:p>
            <w:pPr>
              <w:spacing w:after="0"/>
            </w:pPr>
            <w:r>
              <w:rPr>
                <w:rFonts w:ascii="Calibri" w:hAnsi="Calibri"/>
                <w:b w:val="0"/>
                <w:i w:val="0"/>
                <w:color w:val="1A1A2E"/>
                <w:sz w:val="17"/>
              </w:rPr>
              <w:t>Accountant-ready books and traceability</w:t>
            </w:r>
          </w:p>
        </w:tc>
      </w:tr>
      <w:tr>
        <w:trPr>
          <w:cantSplit w:val="true"/>
        </w:trPr>
        <w:tc>
          <w:tcPr>
            <w:tcW w:type="dxa" w:w="1656"/>
            <w:tcMar>
              <w:top w:w="95" w:type="dxa"/>
              <w:start w:w="100" w:type="dxa"/>
              <w:bottom w:w="95" w:type="dxa"/>
              <w:end w:w="100" w:type="dxa"/>
            </w:tcMar>
          </w:tcPr>
          <w:p>
            <w:pPr>
              <w:spacing w:after="0"/>
            </w:pPr>
            <w:r>
              <w:rPr>
                <w:rFonts w:ascii="Calibri" w:hAnsi="Calibri"/>
                <w:b w:val="0"/>
                <w:i w:val="0"/>
                <w:color w:val="1A1A2E"/>
                <w:sz w:val="17"/>
              </w:rPr>
              <w:t>Comply</w:t>
            </w:r>
          </w:p>
        </w:tc>
        <w:tc>
          <w:tcPr>
            <w:tcW w:type="dxa" w:w="4320"/>
            <w:tcMar>
              <w:top w:w="95" w:type="dxa"/>
              <w:start w:w="100" w:type="dxa"/>
              <w:bottom w:w="95" w:type="dxa"/>
              <w:end w:w="100" w:type="dxa"/>
            </w:tcMar>
          </w:tcPr>
          <w:p>
            <w:pPr>
              <w:spacing w:after="0"/>
            </w:pPr>
            <w:r>
              <w:rPr>
                <w:rFonts w:ascii="Calibri" w:hAnsi="Calibri"/>
                <w:b w:val="0"/>
                <w:i w:val="0"/>
                <w:color w:val="1A1A2E"/>
                <w:sz w:val="17"/>
              </w:rPr>
              <w:t>TVA preparation, payroll/CNSS workflows and exports</w:t>
            </w:r>
          </w:p>
        </w:tc>
        <w:tc>
          <w:tcPr>
            <w:tcW w:type="dxa" w:w="3384"/>
            <w:tcMar>
              <w:top w:w="95" w:type="dxa"/>
              <w:start w:w="100" w:type="dxa"/>
              <w:bottom w:w="95" w:type="dxa"/>
              <w:end w:w="100" w:type="dxa"/>
            </w:tcMar>
          </w:tcPr>
          <w:p>
            <w:pPr>
              <w:spacing w:after="0"/>
            </w:pPr>
            <w:r>
              <w:rPr>
                <w:rFonts w:ascii="Calibri" w:hAnsi="Calibri"/>
                <w:b w:val="0"/>
                <w:i w:val="0"/>
                <w:color w:val="1A1A2E"/>
                <w:sz w:val="17"/>
              </w:rPr>
              <w:t>Local workflow depth</w:t>
            </w:r>
          </w:p>
        </w:tc>
      </w:tr>
      <w:tr>
        <w:trPr>
          <w:cantSplit w:val="true"/>
        </w:trPr>
        <w:tc>
          <w:tcPr>
            <w:tcW w:type="dxa" w:w="1656"/>
            <w:tcMar>
              <w:top w:w="95" w:type="dxa"/>
              <w:start w:w="100" w:type="dxa"/>
              <w:bottom w:w="95" w:type="dxa"/>
              <w:end w:w="100" w:type="dxa"/>
            </w:tcMar>
            <w:shd w:fill="F8F9FB"/>
          </w:tcPr>
          <w:p>
            <w:pPr>
              <w:spacing w:after="0"/>
            </w:pPr>
            <w:r>
              <w:rPr>
                <w:rFonts w:ascii="Calibri" w:hAnsi="Calibri"/>
                <w:b w:val="0"/>
                <w:i w:val="0"/>
                <w:color w:val="1A1A2E"/>
                <w:sz w:val="17"/>
              </w:rPr>
              <w:t>Collaborate</w:t>
            </w:r>
          </w:p>
        </w:tc>
        <w:tc>
          <w:tcPr>
            <w:tcW w:type="dxa" w:w="4320"/>
            <w:tcMar>
              <w:top w:w="95" w:type="dxa"/>
              <w:start w:w="100" w:type="dxa"/>
              <w:bottom w:w="95" w:type="dxa"/>
              <w:end w:w="100" w:type="dxa"/>
            </w:tcMar>
            <w:shd w:fill="F8F9FB"/>
          </w:tcPr>
          <w:p>
            <w:pPr>
              <w:spacing w:after="0"/>
            </w:pPr>
            <w:r>
              <w:rPr>
                <w:rFonts w:ascii="Calibri" w:hAnsi="Calibri"/>
                <w:b w:val="0"/>
                <w:i w:val="0"/>
                <w:color w:val="1A1A2E"/>
                <w:sz w:val="17"/>
              </w:rPr>
              <w:t>Team access, client portal, multi-dossier cockpit and global inbox</w:t>
            </w:r>
          </w:p>
        </w:tc>
        <w:tc>
          <w:tcPr>
            <w:tcW w:type="dxa" w:w="3384"/>
            <w:tcMar>
              <w:top w:w="95" w:type="dxa"/>
              <w:start w:w="100" w:type="dxa"/>
              <w:bottom w:w="95" w:type="dxa"/>
              <w:end w:w="100" w:type="dxa"/>
            </w:tcMar>
            <w:shd w:fill="F8F9FB"/>
          </w:tcPr>
          <w:p>
            <w:pPr>
              <w:spacing w:after="0"/>
            </w:pPr>
            <w:r>
              <w:rPr>
                <w:rFonts w:ascii="Calibri" w:hAnsi="Calibri"/>
                <w:b w:val="0"/>
                <w:i w:val="0"/>
                <w:color w:val="1A1A2E"/>
                <w:sz w:val="17"/>
              </w:rPr>
              <w:t>Shared business–accountant workspace</w:t>
            </w:r>
          </w:p>
        </w:tc>
      </w:tr>
      <w:tr>
        <w:trPr>
          <w:cantSplit w:val="true"/>
        </w:trPr>
        <w:tc>
          <w:tcPr>
            <w:tcW w:type="dxa" w:w="1656"/>
            <w:tcMar>
              <w:top w:w="95" w:type="dxa"/>
              <w:start w:w="100" w:type="dxa"/>
              <w:bottom w:w="95" w:type="dxa"/>
              <w:end w:w="100" w:type="dxa"/>
            </w:tcMar>
          </w:tcPr>
          <w:p>
            <w:pPr>
              <w:spacing w:after="0"/>
            </w:pPr>
            <w:r>
              <w:rPr>
                <w:rFonts w:ascii="Calibri" w:hAnsi="Calibri"/>
                <w:b w:val="0"/>
                <w:i w:val="0"/>
                <w:color w:val="1A1A2E"/>
                <w:sz w:val="17"/>
              </w:rPr>
              <w:t>Assist</w:t>
            </w:r>
          </w:p>
        </w:tc>
        <w:tc>
          <w:tcPr>
            <w:tcW w:type="dxa" w:w="4320"/>
            <w:tcMar>
              <w:top w:w="95" w:type="dxa"/>
              <w:start w:w="100" w:type="dxa"/>
              <w:bottom w:w="95" w:type="dxa"/>
              <w:end w:w="100" w:type="dxa"/>
            </w:tcMar>
          </w:tcPr>
          <w:p>
            <w:pPr>
              <w:spacing w:after="0"/>
            </w:pPr>
            <w:r>
              <w:rPr>
                <w:rFonts w:ascii="Calibri" w:hAnsi="Calibri"/>
                <w:b w:val="0"/>
                <w:i w:val="0"/>
                <w:color w:val="1A1A2E"/>
                <w:sz w:val="17"/>
              </w:rPr>
              <w:t>AI accounting agent with permissioned actions</w:t>
            </w:r>
          </w:p>
        </w:tc>
        <w:tc>
          <w:tcPr>
            <w:tcW w:type="dxa" w:w="3384"/>
            <w:tcMar>
              <w:top w:w="95" w:type="dxa"/>
              <w:start w:w="100" w:type="dxa"/>
              <w:bottom w:w="95" w:type="dxa"/>
              <w:end w:w="100" w:type="dxa"/>
            </w:tcMar>
          </w:tcPr>
          <w:p>
            <w:pPr>
              <w:spacing w:after="0"/>
            </w:pPr>
            <w:r>
              <w:rPr>
                <w:rFonts w:ascii="Calibri" w:hAnsi="Calibri"/>
                <w:b w:val="0"/>
                <w:i w:val="0"/>
                <w:color w:val="1A1A2E"/>
                <w:sz w:val="17"/>
              </w:rPr>
              <w:t>Faster navigation and workflow execution</w:t>
            </w:r>
          </w:p>
        </w:tc>
      </w:tr>
    </w:tbl>
    <w:p>
      <w:pPr>
        <w:spacing w:after="20"/>
      </w:pPr>
    </w:p>
    <w:tbl>
      <w:tblPr>
        <w:tblW w:type="auto" w:w="0"/>
        <w:jc w:val="center"/>
        <w:tblLayout w:type="fixed"/>
        <w:tblLook w:firstColumn="1" w:firstRow="1" w:lastColumn="0" w:lastRow="0" w:noHBand="0" w:noVBand="1" w:val="04A0"/>
      </w:tblPr>
      <w:tblGrid>
        <w:gridCol w:w="9360"/>
      </w:tblGrid>
      <w:tr>
        <w:tc>
          <w:tcPr>
            <w:tcW w:type="dxa" w:w="9360"/>
            <w:tcMar>
              <w:top w:w="150" w:type="dxa"/>
              <w:start w:w="180" w:type="dxa"/>
              <w:bottom w:w="150" w:type="dxa"/>
              <w:end w:w="180" w:type="dxa"/>
            </w:tcMar>
            <w:shd w:fill="FFF4CC"/>
          </w:tcPr>
          <w:p>
            <w:pPr>
              <w:spacing w:after="0"/>
            </w:pPr>
            <w:r>
              <w:rPr>
                <w:rFonts w:ascii="Calibri" w:hAnsi="Calibri"/>
                <w:b/>
                <w:i w:val="0"/>
                <w:color w:val="9B1C1C"/>
                <w:sz w:val="21"/>
              </w:rPr>
              <w:t xml:space="preserve">PRODUCT PROOF, NOT TRACTION  </w:t>
            </w:r>
            <w:r>
              <w:rPr>
                <w:rFonts w:ascii="Calibri" w:hAnsi="Calibri"/>
                <w:b w:val="0"/>
                <w:i w:val="0"/>
                <w:color w:val="1A1A2E"/>
                <w:sz w:val="21"/>
              </w:rPr>
              <w:t>The repository and August 2026 audit support breadth, security controls and production readiness. They do not establish active customers, paid conversions, MRR or retention. Those metrics must be inserted from the live admin/billing systems.</w:t>
            </w:r>
          </w:p>
        </w:tc>
      </w:tr>
    </w:tbl>
    <w:p>
      <w:pPr>
        <w:spacing w:after="20"/>
      </w:pPr>
    </w:p>
    <w:p>
      <w:pPr>
        <w:pStyle w:val="Heading1"/>
        <w:keepNext/>
      </w:pPr>
      <w:r>
        <w:t>5. Customer value</w:t>
      </w:r>
    </w:p>
    <w:p>
      <w:pPr>
        <w:pStyle w:val="Heading2"/>
        <w:keepNext/>
      </w:pPr>
      <w:r>
        <w:t>Business owner</w:t>
      </w:r>
    </w:p>
    <w:p>
      <w:pPr>
        <w:keepNext w:val="0"/>
        <w:spacing w:before="0" w:after="120" w:line="264" w:lineRule="auto"/>
      </w:pPr>
      <w:r>
        <w:rPr>
          <w:rFonts w:ascii="Calibri" w:hAnsi="Calibri"/>
          <w:b w:val="0"/>
          <w:i w:val="0"/>
          <w:color w:val="1A1A2E"/>
          <w:sz w:val="22"/>
        </w:rPr>
        <w:t>Know what is due, paid and owed without rebuilding a spreadsheet; send invoices, track cash, manage documents and run payroll from one operating record.</w:t>
      </w:r>
    </w:p>
    <w:p>
      <w:pPr>
        <w:pStyle w:val="Heading2"/>
        <w:keepNext/>
      </w:pPr>
      <w:r>
        <w:t>Accountant</w:t>
      </w:r>
    </w:p>
    <w:p>
      <w:pPr>
        <w:keepNext w:val="0"/>
        <w:spacing w:before="0" w:after="120" w:line="264" w:lineRule="auto"/>
      </w:pPr>
      <w:r>
        <w:rPr>
          <w:rFonts w:ascii="Calibri" w:hAnsi="Calibri"/>
          <w:b w:val="0"/>
          <w:i w:val="0"/>
          <w:color w:val="1A1A2E"/>
          <w:sz w:val="22"/>
        </w:rPr>
        <w:t>Receive structured documents and categorized activity, review exceptions, prepare TVA and close faster with linked evidence.</w:t>
      </w:r>
    </w:p>
    <w:p>
      <w:pPr>
        <w:pStyle w:val="Heading2"/>
        <w:keepNext/>
      </w:pPr>
      <w:r>
        <w:t>Accounting firm</w:t>
      </w:r>
    </w:p>
    <w:p>
      <w:pPr>
        <w:keepNext w:val="0"/>
        <w:spacing w:before="0" w:after="120" w:line="264" w:lineRule="auto"/>
      </w:pPr>
      <w:r>
        <w:rPr>
          <w:rFonts w:ascii="Calibri" w:hAnsi="Calibri"/>
          <w:b w:val="0"/>
          <w:i w:val="0"/>
          <w:color w:val="1A1A2E"/>
          <w:sz w:val="22"/>
        </w:rPr>
        <w:t>Standardize client files through a multi-dossier cockpit, global inbox, mass operations and client-space access.</w:t>
      </w:r>
    </w:p>
    <w:p>
      <w:pPr>
        <w:pStyle w:val="Heading1"/>
        <w:keepNext/>
      </w:pPr>
      <w:r>
        <w:t>6. Business model and pricing</w:t>
      </w:r>
    </w:p>
    <w:p>
      <w:pPr>
        <w:keepNext w:val="0"/>
        <w:spacing w:before="0" w:after="120" w:line="264" w:lineRule="auto"/>
      </w:pPr>
      <w:r>
        <w:rPr>
          <w:rFonts w:ascii="Calibri" w:hAnsi="Calibri"/>
          <w:b w:val="0"/>
          <w:i w:val="0"/>
          <w:color w:val="1A1A2E"/>
          <w:sz w:val="22"/>
        </w:rPr>
        <w:t>Mohasib monetizes increasing operational complexity rather than basic document creation. Free invoicing acquires entrepreneurs at the moment they create revenue; paid pricing scales with processing, team size, payroll and accountant collaboration.</w:t>
      </w:r>
    </w:p>
    <w:tbl>
      <w:tblPr>
        <w:tblW w:type="auto" w:w="0"/>
        <w:jc w:val="center"/>
        <w:tblLayout w:type="fixed"/>
        <w:tblLook w:firstColumn="1" w:firstRow="1" w:lastColumn="0" w:lastRow="0" w:noHBand="0" w:noVBand="1" w:val="04A0"/>
      </w:tblPr>
      <w:tblGrid>
        <w:gridCol w:w="3120"/>
        <w:gridCol w:w="3120"/>
        <w:gridCol w:w="3120"/>
      </w:tblGrid>
      <w:tr>
        <w:trPr>
          <w:tblHeader w:val="true"/>
          <w:cantSplit w:val="true"/>
        </w:trPr>
        <w:tc>
          <w:tcPr>
            <w:tcW w:type="dxa" w:w="2160"/>
            <w:tcMar>
              <w:top w:w="110" w:type="dxa"/>
              <w:start w:w="100" w:type="dxa"/>
              <w:bottom w:w="110" w:type="dxa"/>
              <w:end w:w="100" w:type="dxa"/>
            </w:tcMar>
            <w:shd w:fill="0D1526"/>
          </w:tcPr>
          <w:p>
            <w:pPr>
              <w:spacing w:after="0"/>
            </w:pPr>
            <w:r>
              <w:rPr>
                <w:rFonts w:ascii="Calibri" w:hAnsi="Calibri"/>
                <w:b/>
                <w:i w:val="0"/>
                <w:color w:val="FFFFFF"/>
                <w:sz w:val="18"/>
              </w:rPr>
              <w:t>Offer / expansion</w:t>
            </w:r>
          </w:p>
        </w:tc>
        <w:tc>
          <w:tcPr>
            <w:tcW w:type="dxa" w:w="3888"/>
            <w:tcMar>
              <w:top w:w="110" w:type="dxa"/>
              <w:start w:w="100" w:type="dxa"/>
              <w:bottom w:w="110" w:type="dxa"/>
              <w:end w:w="100" w:type="dxa"/>
            </w:tcMar>
            <w:shd w:fill="0D1526"/>
          </w:tcPr>
          <w:p>
            <w:pPr>
              <w:spacing w:after="0"/>
            </w:pPr>
            <w:r>
              <w:rPr>
                <w:rFonts w:ascii="Calibri" w:hAnsi="Calibri"/>
                <w:b/>
                <w:i w:val="0"/>
                <w:color w:val="FFFFFF"/>
                <w:sz w:val="18"/>
              </w:rPr>
              <w:t>Current local pricing signal</w:t>
            </w:r>
          </w:p>
        </w:tc>
        <w:tc>
          <w:tcPr>
            <w:tcW w:type="dxa" w:w="3312"/>
            <w:tcMar>
              <w:top w:w="110" w:type="dxa"/>
              <w:start w:w="100" w:type="dxa"/>
              <w:bottom w:w="110" w:type="dxa"/>
              <w:end w:w="100" w:type="dxa"/>
            </w:tcMar>
            <w:shd w:fill="0D1526"/>
          </w:tcPr>
          <w:p>
            <w:pPr>
              <w:spacing w:after="0"/>
            </w:pPr>
            <w:r>
              <w:rPr>
                <w:rFonts w:ascii="Calibri" w:hAnsi="Calibri"/>
                <w:b/>
                <w:i w:val="0"/>
                <w:color w:val="FFFFFF"/>
                <w:sz w:val="18"/>
              </w:rPr>
              <w:t>Role in model</w:t>
            </w:r>
          </w:p>
        </w:tc>
      </w:tr>
      <w:tr>
        <w:trPr>
          <w:cantSplit w:val="true"/>
        </w:trPr>
        <w:tc>
          <w:tcPr>
            <w:tcW w:type="dxa" w:w="2160"/>
            <w:tcMar>
              <w:top w:w="95" w:type="dxa"/>
              <w:start w:w="100" w:type="dxa"/>
              <w:bottom w:w="95" w:type="dxa"/>
              <w:end w:w="100" w:type="dxa"/>
            </w:tcMar>
          </w:tcPr>
          <w:p>
            <w:pPr>
              <w:spacing w:after="0"/>
            </w:pPr>
            <w:r>
              <w:rPr>
                <w:rFonts w:ascii="Calibri" w:hAnsi="Calibri"/>
                <w:b w:val="0"/>
                <w:i w:val="0"/>
                <w:color w:val="1A1A2E"/>
                <w:sz w:val="17"/>
              </w:rPr>
              <w:t>Free invoicing</w:t>
            </w:r>
          </w:p>
        </w:tc>
        <w:tc>
          <w:tcPr>
            <w:tcW w:type="dxa" w:w="3888"/>
            <w:tcMar>
              <w:top w:w="95" w:type="dxa"/>
              <w:start w:w="100" w:type="dxa"/>
              <w:bottom w:w="95" w:type="dxa"/>
              <w:end w:w="100" w:type="dxa"/>
            </w:tcMar>
          </w:tcPr>
          <w:p>
            <w:pPr>
              <w:spacing w:after="0"/>
            </w:pPr>
            <w:r>
              <w:rPr>
                <w:rFonts w:ascii="Calibri" w:hAnsi="Calibri"/>
                <w:b w:val="0"/>
                <w:i w:val="0"/>
                <w:color w:val="1A1A2E"/>
                <w:sz w:val="17"/>
              </w:rPr>
              <w:t>0 MAD; invoicing, quotes, credit notes and client management</w:t>
            </w:r>
          </w:p>
        </w:tc>
        <w:tc>
          <w:tcPr>
            <w:tcW w:type="dxa" w:w="3312"/>
            <w:tcMar>
              <w:top w:w="95" w:type="dxa"/>
              <w:start w:w="100" w:type="dxa"/>
              <w:bottom w:w="95" w:type="dxa"/>
              <w:end w:w="100" w:type="dxa"/>
            </w:tcMar>
          </w:tcPr>
          <w:p>
            <w:pPr>
              <w:spacing w:after="0"/>
            </w:pPr>
            <w:r>
              <w:rPr>
                <w:rFonts w:ascii="Calibri" w:hAnsi="Calibri"/>
                <w:b w:val="0"/>
                <w:i w:val="0"/>
                <w:color w:val="1A1A2E"/>
                <w:sz w:val="17"/>
              </w:rPr>
              <w:t>Acquisition wedge</w:t>
            </w:r>
          </w:p>
        </w:tc>
      </w:tr>
      <w:tr>
        <w:trPr>
          <w:cantSplit w:val="true"/>
        </w:trPr>
        <w:tc>
          <w:tcPr>
            <w:tcW w:type="dxa" w:w="2160"/>
            <w:tcMar>
              <w:top w:w="95" w:type="dxa"/>
              <w:start w:w="100" w:type="dxa"/>
              <w:bottom w:w="95" w:type="dxa"/>
              <w:end w:w="100" w:type="dxa"/>
            </w:tcMar>
            <w:shd w:fill="F8F9FB"/>
          </w:tcPr>
          <w:p>
            <w:pPr>
              <w:spacing w:after="0"/>
            </w:pPr>
            <w:r>
              <w:rPr>
                <w:rFonts w:ascii="Calibri" w:hAnsi="Calibri"/>
                <w:b w:val="0"/>
                <w:i w:val="0"/>
                <w:color w:val="1A1A2E"/>
                <w:sz w:val="17"/>
              </w:rPr>
              <w:t>Entreprise Flex</w:t>
            </w:r>
          </w:p>
        </w:tc>
        <w:tc>
          <w:tcPr>
            <w:tcW w:type="dxa" w:w="3888"/>
            <w:tcMar>
              <w:top w:w="95" w:type="dxa"/>
              <w:start w:w="100" w:type="dxa"/>
              <w:bottom w:w="95" w:type="dxa"/>
              <w:end w:w="100" w:type="dxa"/>
            </w:tcMar>
            <w:shd w:fill="F8F9FB"/>
          </w:tcPr>
          <w:p>
            <w:pPr>
              <w:spacing w:after="0"/>
            </w:pPr>
            <w:r>
              <w:rPr>
                <w:rFonts w:ascii="Calibri" w:hAnsi="Calibri"/>
                <w:b w:val="0"/>
                <w:i w:val="0"/>
                <w:color w:val="1A1A2E"/>
                <w:sz w:val="17"/>
              </w:rPr>
              <w:t>299 MAD TTC/month base</w:t>
            </w:r>
          </w:p>
        </w:tc>
        <w:tc>
          <w:tcPr>
            <w:tcW w:type="dxa" w:w="3312"/>
            <w:tcMar>
              <w:top w:w="95" w:type="dxa"/>
              <w:start w:w="100" w:type="dxa"/>
              <w:bottom w:w="95" w:type="dxa"/>
              <w:end w:w="100" w:type="dxa"/>
            </w:tcMar>
            <w:shd w:fill="F8F9FB"/>
          </w:tcPr>
          <w:p>
            <w:pPr>
              <w:spacing w:after="0"/>
            </w:pPr>
            <w:r>
              <w:rPr>
                <w:rFonts w:ascii="Calibri" w:hAnsi="Calibri"/>
                <w:b w:val="0"/>
                <w:i w:val="0"/>
                <w:color w:val="1A1A2E"/>
                <w:sz w:val="17"/>
              </w:rPr>
              <w:t>Primary SME paid plan</w:t>
            </w:r>
          </w:p>
        </w:tc>
      </w:tr>
      <w:tr>
        <w:trPr>
          <w:cantSplit w:val="true"/>
        </w:trPr>
        <w:tc>
          <w:tcPr>
            <w:tcW w:type="dxa" w:w="2160"/>
            <w:tcMar>
              <w:top w:w="95" w:type="dxa"/>
              <w:start w:w="100" w:type="dxa"/>
              <w:bottom w:w="95" w:type="dxa"/>
              <w:end w:w="100" w:type="dxa"/>
            </w:tcMar>
          </w:tcPr>
          <w:p>
            <w:pPr>
              <w:spacing w:after="0"/>
            </w:pPr>
            <w:r>
              <w:rPr>
                <w:rFonts w:ascii="Calibri" w:hAnsi="Calibri"/>
                <w:b w:val="0"/>
                <w:i w:val="0"/>
                <w:color w:val="1A1A2E"/>
                <w:sz w:val="17"/>
              </w:rPr>
              <w:t>Cabinet Flex</w:t>
            </w:r>
          </w:p>
        </w:tc>
        <w:tc>
          <w:tcPr>
            <w:tcW w:type="dxa" w:w="3888"/>
            <w:tcMar>
              <w:top w:w="95" w:type="dxa"/>
              <w:start w:w="100" w:type="dxa"/>
              <w:bottom w:w="95" w:type="dxa"/>
              <w:end w:w="100" w:type="dxa"/>
            </w:tcMar>
          </w:tcPr>
          <w:p>
            <w:pPr>
              <w:spacing w:after="0"/>
            </w:pPr>
            <w:r>
              <w:rPr>
                <w:rFonts w:ascii="Calibri" w:hAnsi="Calibri"/>
                <w:b w:val="0"/>
                <w:i w:val="0"/>
                <w:color w:val="1A1A2E"/>
                <w:sz w:val="17"/>
              </w:rPr>
              <w:t>499 MAD TTC/month base</w:t>
            </w:r>
          </w:p>
        </w:tc>
        <w:tc>
          <w:tcPr>
            <w:tcW w:type="dxa" w:w="3312"/>
            <w:tcMar>
              <w:top w:w="95" w:type="dxa"/>
              <w:start w:w="100" w:type="dxa"/>
              <w:bottom w:w="95" w:type="dxa"/>
              <w:end w:w="100" w:type="dxa"/>
            </w:tcMar>
          </w:tcPr>
          <w:p>
            <w:pPr>
              <w:spacing w:after="0"/>
            </w:pPr>
            <w:r>
              <w:rPr>
                <w:rFonts w:ascii="Calibri" w:hAnsi="Calibri"/>
                <w:b w:val="0"/>
                <w:i w:val="0"/>
                <w:color w:val="1A1A2E"/>
                <w:sz w:val="17"/>
              </w:rPr>
              <w:t>Accounting-firm platform</w:t>
            </w:r>
          </w:p>
        </w:tc>
      </w:tr>
      <w:tr>
        <w:trPr>
          <w:cantSplit w:val="true"/>
        </w:trPr>
        <w:tc>
          <w:tcPr>
            <w:tcW w:type="dxa" w:w="2160"/>
            <w:tcMar>
              <w:top w:w="95" w:type="dxa"/>
              <w:start w:w="100" w:type="dxa"/>
              <w:bottom w:w="95" w:type="dxa"/>
              <w:end w:w="100" w:type="dxa"/>
            </w:tcMar>
            <w:shd w:fill="F8F9FB"/>
          </w:tcPr>
          <w:p>
            <w:pPr>
              <w:spacing w:after="0"/>
            </w:pPr>
            <w:r>
              <w:rPr>
                <w:rFonts w:ascii="Calibri" w:hAnsi="Calibri"/>
                <w:b w:val="0"/>
                <w:i w:val="0"/>
                <w:color w:val="1A1A2E"/>
                <w:sz w:val="17"/>
              </w:rPr>
              <w:t>Business OCR</w:t>
            </w:r>
          </w:p>
        </w:tc>
        <w:tc>
          <w:tcPr>
            <w:tcW w:type="dxa" w:w="3888"/>
            <w:tcMar>
              <w:top w:w="95" w:type="dxa"/>
              <w:start w:w="100" w:type="dxa"/>
              <w:bottom w:w="95" w:type="dxa"/>
              <w:end w:w="100" w:type="dxa"/>
            </w:tcMar>
            <w:shd w:fill="F8F9FB"/>
          </w:tcPr>
          <w:p>
            <w:pPr>
              <w:spacing w:after="0"/>
            </w:pPr>
            <w:r>
              <w:rPr>
                <w:rFonts w:ascii="Calibri" w:hAnsi="Calibri"/>
                <w:b w:val="0"/>
                <w:i w:val="0"/>
                <w:color w:val="1A1A2E"/>
                <w:sz w:val="17"/>
              </w:rPr>
              <w:t>100 documents included; tiered per-document pricing above</w:t>
            </w:r>
          </w:p>
        </w:tc>
        <w:tc>
          <w:tcPr>
            <w:tcW w:type="dxa" w:w="3312"/>
            <w:tcMar>
              <w:top w:w="95" w:type="dxa"/>
              <w:start w:w="100" w:type="dxa"/>
              <w:bottom w:w="95" w:type="dxa"/>
              <w:end w:w="100" w:type="dxa"/>
            </w:tcMar>
            <w:shd w:fill="F8F9FB"/>
          </w:tcPr>
          <w:p>
            <w:pPr>
              <w:spacing w:after="0"/>
            </w:pPr>
            <w:r>
              <w:rPr>
                <w:rFonts w:ascii="Calibri" w:hAnsi="Calibri"/>
                <w:b w:val="0"/>
                <w:i w:val="0"/>
                <w:color w:val="1A1A2E"/>
                <w:sz w:val="17"/>
              </w:rPr>
              <w:t>Usage expansion</w:t>
            </w:r>
          </w:p>
        </w:tc>
      </w:tr>
      <w:tr>
        <w:trPr>
          <w:cantSplit w:val="true"/>
        </w:trPr>
        <w:tc>
          <w:tcPr>
            <w:tcW w:type="dxa" w:w="2160"/>
            <w:tcMar>
              <w:top w:w="95" w:type="dxa"/>
              <w:start w:w="100" w:type="dxa"/>
              <w:bottom w:w="95" w:type="dxa"/>
              <w:end w:w="100" w:type="dxa"/>
            </w:tcMar>
          </w:tcPr>
          <w:p>
            <w:pPr>
              <w:spacing w:after="0"/>
            </w:pPr>
            <w:r>
              <w:rPr>
                <w:rFonts w:ascii="Calibri" w:hAnsi="Calibri"/>
                <w:b w:val="0"/>
                <w:i w:val="0"/>
                <w:color w:val="1A1A2E"/>
                <w:sz w:val="17"/>
              </w:rPr>
              <w:t>Business users</w:t>
            </w:r>
          </w:p>
        </w:tc>
        <w:tc>
          <w:tcPr>
            <w:tcW w:type="dxa" w:w="3888"/>
            <w:tcMar>
              <w:top w:w="95" w:type="dxa"/>
              <w:start w:w="100" w:type="dxa"/>
              <w:bottom w:w="95" w:type="dxa"/>
              <w:end w:w="100" w:type="dxa"/>
            </w:tcMar>
          </w:tcPr>
          <w:p>
            <w:pPr>
              <w:spacing w:after="0"/>
            </w:pPr>
            <w:r>
              <w:rPr>
                <w:rFonts w:ascii="Calibri" w:hAnsi="Calibri"/>
                <w:b w:val="0"/>
                <w:i w:val="0"/>
                <w:color w:val="1A1A2E"/>
                <w:sz w:val="17"/>
              </w:rPr>
              <w:t>1 included; 99 MAD per additional user</w:t>
            </w:r>
          </w:p>
        </w:tc>
        <w:tc>
          <w:tcPr>
            <w:tcW w:type="dxa" w:w="3312"/>
            <w:tcMar>
              <w:top w:w="95" w:type="dxa"/>
              <w:start w:w="100" w:type="dxa"/>
              <w:bottom w:w="95" w:type="dxa"/>
              <w:end w:w="100" w:type="dxa"/>
            </w:tcMar>
          </w:tcPr>
          <w:p>
            <w:pPr>
              <w:spacing w:after="0"/>
            </w:pPr>
            <w:r>
              <w:rPr>
                <w:rFonts w:ascii="Calibri" w:hAnsi="Calibri"/>
                <w:b w:val="0"/>
                <w:i w:val="0"/>
                <w:color w:val="1A1A2E"/>
                <w:sz w:val="17"/>
              </w:rPr>
              <w:t>Seat expansion</w:t>
            </w:r>
          </w:p>
        </w:tc>
      </w:tr>
      <w:tr>
        <w:trPr>
          <w:cantSplit w:val="true"/>
        </w:trPr>
        <w:tc>
          <w:tcPr>
            <w:tcW w:type="dxa" w:w="2160"/>
            <w:tcMar>
              <w:top w:w="95" w:type="dxa"/>
              <w:start w:w="100" w:type="dxa"/>
              <w:bottom w:w="95" w:type="dxa"/>
              <w:end w:w="100" w:type="dxa"/>
            </w:tcMar>
            <w:shd w:fill="F8F9FB"/>
          </w:tcPr>
          <w:p>
            <w:pPr>
              <w:spacing w:after="0"/>
            </w:pPr>
            <w:r>
              <w:rPr>
                <w:rFonts w:ascii="Calibri" w:hAnsi="Calibri"/>
                <w:b w:val="0"/>
                <w:i w:val="0"/>
                <w:color w:val="1A1A2E"/>
                <w:sz w:val="17"/>
              </w:rPr>
              <w:t>Business payroll</w:t>
            </w:r>
          </w:p>
        </w:tc>
        <w:tc>
          <w:tcPr>
            <w:tcW w:type="dxa" w:w="3888"/>
            <w:tcMar>
              <w:top w:w="95" w:type="dxa"/>
              <w:start w:w="100" w:type="dxa"/>
              <w:bottom w:w="95" w:type="dxa"/>
              <w:end w:w="100" w:type="dxa"/>
            </w:tcMar>
            <w:shd w:fill="F8F9FB"/>
          </w:tcPr>
          <w:p>
            <w:pPr>
              <w:spacing w:after="0"/>
            </w:pPr>
            <w:r>
              <w:rPr>
                <w:rFonts w:ascii="Calibri" w:hAnsi="Calibri"/>
                <w:b w:val="0"/>
                <w:i w:val="0"/>
                <w:color w:val="1A1A2E"/>
                <w:sz w:val="17"/>
              </w:rPr>
              <w:t>5 employees included; 12 MAD per additional employee</w:t>
            </w:r>
          </w:p>
        </w:tc>
        <w:tc>
          <w:tcPr>
            <w:tcW w:type="dxa" w:w="3312"/>
            <w:tcMar>
              <w:top w:w="95" w:type="dxa"/>
              <w:start w:w="100" w:type="dxa"/>
              <w:bottom w:w="95" w:type="dxa"/>
              <w:end w:w="100" w:type="dxa"/>
            </w:tcMar>
            <w:shd w:fill="F8F9FB"/>
          </w:tcPr>
          <w:p>
            <w:pPr>
              <w:spacing w:after="0"/>
            </w:pPr>
            <w:r>
              <w:rPr>
                <w:rFonts w:ascii="Calibri" w:hAnsi="Calibri"/>
                <w:b w:val="0"/>
                <w:i w:val="0"/>
                <w:color w:val="1A1A2E"/>
                <w:sz w:val="17"/>
              </w:rPr>
              <w:t>Workflow expansion</w:t>
            </w:r>
          </w:p>
        </w:tc>
      </w:tr>
      <w:tr>
        <w:trPr>
          <w:cantSplit w:val="true"/>
        </w:trPr>
        <w:tc>
          <w:tcPr>
            <w:tcW w:type="dxa" w:w="2160"/>
            <w:tcMar>
              <w:top w:w="95" w:type="dxa"/>
              <w:start w:w="100" w:type="dxa"/>
              <w:bottom w:w="95" w:type="dxa"/>
              <w:end w:w="100" w:type="dxa"/>
            </w:tcMar>
          </w:tcPr>
          <w:p>
            <w:pPr>
              <w:spacing w:after="0"/>
            </w:pPr>
            <w:r>
              <w:rPr>
                <w:rFonts w:ascii="Calibri" w:hAnsi="Calibri"/>
                <w:b w:val="0"/>
                <w:i w:val="0"/>
                <w:color w:val="1A1A2E"/>
                <w:sz w:val="17"/>
              </w:rPr>
              <w:t>Cabinet dossiers</w:t>
            </w:r>
          </w:p>
        </w:tc>
        <w:tc>
          <w:tcPr>
            <w:tcW w:type="dxa" w:w="3888"/>
            <w:tcMar>
              <w:top w:w="95" w:type="dxa"/>
              <w:start w:w="100" w:type="dxa"/>
              <w:bottom w:w="95" w:type="dxa"/>
              <w:end w:w="100" w:type="dxa"/>
            </w:tcMar>
          </w:tcPr>
          <w:p>
            <w:pPr>
              <w:spacing w:after="0"/>
            </w:pPr>
            <w:r>
              <w:rPr>
                <w:rFonts w:ascii="Calibri" w:hAnsi="Calibri"/>
                <w:b w:val="0"/>
                <w:i w:val="0"/>
                <w:color w:val="1A1A2E"/>
                <w:sz w:val="17"/>
              </w:rPr>
              <w:t>49 MAD per managed dossier; 149 MAD per connected client space</w:t>
            </w:r>
          </w:p>
        </w:tc>
        <w:tc>
          <w:tcPr>
            <w:tcW w:type="dxa" w:w="3312"/>
            <w:tcMar>
              <w:top w:w="95" w:type="dxa"/>
              <w:start w:w="100" w:type="dxa"/>
              <w:bottom w:w="95" w:type="dxa"/>
              <w:end w:w="100" w:type="dxa"/>
            </w:tcMar>
          </w:tcPr>
          <w:p>
            <w:pPr>
              <w:spacing w:after="0"/>
            </w:pPr>
            <w:r>
              <w:rPr>
                <w:rFonts w:ascii="Calibri" w:hAnsi="Calibri"/>
                <w:b w:val="0"/>
                <w:i w:val="0"/>
                <w:color w:val="1A1A2E"/>
                <w:sz w:val="17"/>
              </w:rPr>
              <w:t>Portfolio expansion</w:t>
            </w:r>
          </w:p>
        </w:tc>
      </w:tr>
    </w:tbl>
    <w:p>
      <w:pPr>
        <w:spacing w:after="20"/>
      </w:pPr>
    </w:p>
    <w:p>
      <w:pPr>
        <w:keepNext w:val="0"/>
        <w:spacing w:before="0" w:after="120" w:line="264" w:lineRule="auto"/>
      </w:pPr>
      <w:r>
        <w:rPr>
          <w:rFonts w:ascii="Calibri" w:hAnsi="Calibri"/>
          <w:b w:val="0"/>
          <w:i/>
          <w:color w:val="667085"/>
          <w:sz w:val="18"/>
        </w:rPr>
        <w:t>Pricing is sourced from the current local pricing calculator and should be revalidated against production immediately before investor distribution.</w:t>
      </w:r>
    </w:p>
    <w:p>
      <w:pPr>
        <w:pStyle w:val="Heading1"/>
        <w:keepNext/>
      </w:pPr>
      <w:r>
        <w:t>7. Market and beachhead</w:t>
      </w:r>
    </w:p>
    <w:p>
      <w:pPr>
        <w:keepNext w:val="0"/>
        <w:spacing w:before="0" w:after="120" w:line="264" w:lineRule="auto"/>
      </w:pPr>
      <w:r>
        <w:rPr>
          <w:rFonts w:ascii="Calibri" w:hAnsi="Calibri"/>
          <w:b w:val="0"/>
          <w:i w:val="0"/>
          <w:color w:val="1A1A2E"/>
          <w:sz w:val="22"/>
        </w:rPr>
        <w:t>The pitch deck uses an illustrative bottom-up calculation: 380,000 tax-filing corporate entities × 299 MAD/month × 12 months ≈ 1.36 billion MAD in annual core software spend. The calculation intentionally excludes accounting-firm expansion, newly created companies and geographic expansion.</w:t>
      </w:r>
    </w:p>
    <w:p>
      <w:pPr>
        <w:pStyle w:val="ListBullet"/>
        <w:spacing w:after="100" w:line="264" w:lineRule="auto"/>
        <w:ind w:left="720" w:hanging="360"/>
      </w:pPr>
      <w:r>
        <w:rPr>
          <w:rFonts w:ascii="Calibri" w:hAnsi="Calibri"/>
          <w:b w:val="0"/>
          <w:i w:val="0"/>
          <w:color w:val="1A1A2E"/>
          <w:sz w:val="21"/>
        </w:rPr>
        <w:t>Initial beachhead: Moroccan TPE/SMEs with recurring invoicing, documents, payments, TVA or payroll pain.</w:t>
      </w:r>
    </w:p>
    <w:p>
      <w:pPr>
        <w:pStyle w:val="ListBullet"/>
        <w:spacing w:after="100" w:line="264" w:lineRule="auto"/>
        <w:ind w:left="720" w:hanging="360"/>
      </w:pPr>
      <w:r>
        <w:rPr>
          <w:rFonts w:ascii="Calibri" w:hAnsi="Calibri"/>
          <w:b w:val="0"/>
          <w:i w:val="0"/>
          <w:color w:val="1A1A2E"/>
          <w:sz w:val="21"/>
        </w:rPr>
        <w:t>Distribution multiplier: accountants and accounting firms that can activate multiple business spaces.</w:t>
      </w:r>
    </w:p>
    <w:p>
      <w:pPr>
        <w:pStyle w:val="ListBullet"/>
        <w:spacing w:after="100" w:line="264" w:lineRule="auto"/>
        <w:ind w:left="720" w:hanging="360"/>
      </w:pPr>
      <w:r>
        <w:rPr>
          <w:rFonts w:ascii="Calibri" w:hAnsi="Calibri"/>
          <w:b w:val="0"/>
          <w:i w:val="0"/>
          <w:color w:val="1A1A2E"/>
          <w:sz w:val="21"/>
        </w:rPr>
        <w:t>Longer-term option: Maghreb and francophone markets after proving retention and channel economics in Morocco.</w:t>
      </w:r>
    </w:p>
    <w:p>
      <w:pPr>
        <w:keepNext w:val="0"/>
        <w:spacing w:before="0" w:after="120" w:line="264" w:lineRule="auto"/>
      </w:pPr>
      <w:r>
        <w:rPr>
          <w:rFonts w:ascii="Calibri" w:hAnsi="Calibri"/>
          <w:b w:val="0"/>
          <w:i/>
          <w:color w:val="667085"/>
          <w:sz w:val="19"/>
        </w:rPr>
        <w:t>Investor caveat: this is top-down opportunity framing, not a forecast. A serviceable obtainable market should be grounded in measured acquisition, activation, conversion and retention data.</w:t>
      </w:r>
    </w:p>
    <w:p>
      <w:pPr>
        <w:pStyle w:val="Heading1"/>
        <w:keepNext/>
      </w:pPr>
      <w:r>
        <w:t>8. Go-to-market</w:t>
      </w:r>
    </w:p>
    <w:tbl>
      <w:tblPr>
        <w:tblW w:type="auto" w:w="0"/>
        <w:jc w:val="center"/>
        <w:tblLayout w:type="fixed"/>
        <w:tblLook w:firstColumn="1" w:firstRow="1" w:lastColumn="0" w:lastRow="0" w:noHBand="0" w:noVBand="1" w:val="04A0"/>
      </w:tblPr>
      <w:tblGrid>
        <w:gridCol w:w="3120"/>
        <w:gridCol w:w="3120"/>
        <w:gridCol w:w="3120"/>
      </w:tblGrid>
      <w:tr>
        <w:trPr>
          <w:tblHeader w:val="true"/>
          <w:cantSplit w:val="true"/>
        </w:trPr>
        <w:tc>
          <w:tcPr>
            <w:tcW w:type="dxa" w:w="1728"/>
            <w:tcMar>
              <w:top w:w="110" w:type="dxa"/>
              <w:start w:w="100" w:type="dxa"/>
              <w:bottom w:w="110" w:type="dxa"/>
              <w:end w:w="100" w:type="dxa"/>
            </w:tcMar>
            <w:shd w:fill="0D1526"/>
          </w:tcPr>
          <w:p>
            <w:pPr>
              <w:spacing w:after="0"/>
            </w:pPr>
            <w:r>
              <w:rPr>
                <w:rFonts w:ascii="Calibri" w:hAnsi="Calibri"/>
                <w:b/>
                <w:i w:val="0"/>
                <w:color w:val="FFFFFF"/>
                <w:sz w:val="18"/>
              </w:rPr>
              <w:t>Motion</w:t>
            </w:r>
          </w:p>
        </w:tc>
        <w:tc>
          <w:tcPr>
            <w:tcW w:type="dxa" w:w="4176"/>
            <w:tcMar>
              <w:top w:w="110" w:type="dxa"/>
              <w:start w:w="100" w:type="dxa"/>
              <w:bottom w:w="110" w:type="dxa"/>
              <w:end w:w="100" w:type="dxa"/>
            </w:tcMar>
            <w:shd w:fill="0D1526"/>
          </w:tcPr>
          <w:p>
            <w:pPr>
              <w:spacing w:after="0"/>
            </w:pPr>
            <w:r>
              <w:rPr>
                <w:rFonts w:ascii="Calibri" w:hAnsi="Calibri"/>
                <w:b/>
                <w:i w:val="0"/>
                <w:color w:val="FFFFFF"/>
                <w:sz w:val="18"/>
              </w:rPr>
              <w:t>Immediate execution</w:t>
            </w:r>
          </w:p>
        </w:tc>
        <w:tc>
          <w:tcPr>
            <w:tcW w:type="dxa" w:w="3456"/>
            <w:tcMar>
              <w:top w:w="110" w:type="dxa"/>
              <w:start w:w="100" w:type="dxa"/>
              <w:bottom w:w="110" w:type="dxa"/>
              <w:end w:w="100" w:type="dxa"/>
            </w:tcMar>
            <w:shd w:fill="0D1526"/>
          </w:tcPr>
          <w:p>
            <w:pPr>
              <w:spacing w:after="0"/>
            </w:pPr>
            <w:r>
              <w:rPr>
                <w:rFonts w:ascii="Calibri" w:hAnsi="Calibri"/>
                <w:b/>
                <w:i w:val="0"/>
                <w:color w:val="FFFFFF"/>
                <w:sz w:val="18"/>
              </w:rPr>
              <w:t>Proof to collect</w:t>
            </w:r>
          </w:p>
        </w:tc>
      </w:tr>
      <w:tr>
        <w:trPr>
          <w:cantSplit w:val="true"/>
        </w:trPr>
        <w:tc>
          <w:tcPr>
            <w:tcW w:type="dxa" w:w="1728"/>
            <w:tcMar>
              <w:top w:w="95" w:type="dxa"/>
              <w:start w:w="100" w:type="dxa"/>
              <w:bottom w:w="95" w:type="dxa"/>
              <w:end w:w="100" w:type="dxa"/>
            </w:tcMar>
          </w:tcPr>
          <w:p>
            <w:pPr>
              <w:spacing w:after="0"/>
            </w:pPr>
            <w:r>
              <w:rPr>
                <w:rFonts w:ascii="Calibri" w:hAnsi="Calibri"/>
                <w:b w:val="0"/>
                <w:i w:val="0"/>
                <w:color w:val="1A1A2E"/>
                <w:sz w:val="17"/>
              </w:rPr>
              <w:t>Free product</w:t>
            </w:r>
          </w:p>
        </w:tc>
        <w:tc>
          <w:tcPr>
            <w:tcW w:type="dxa" w:w="4176"/>
            <w:tcMar>
              <w:top w:w="95" w:type="dxa"/>
              <w:start w:w="100" w:type="dxa"/>
              <w:bottom w:w="95" w:type="dxa"/>
              <w:end w:w="100" w:type="dxa"/>
            </w:tcMar>
          </w:tcPr>
          <w:p>
            <w:pPr>
              <w:spacing w:after="0"/>
            </w:pPr>
            <w:r>
              <w:rPr>
                <w:rFonts w:ascii="Calibri" w:hAnsi="Calibri"/>
                <w:b w:val="0"/>
                <w:i w:val="0"/>
                <w:color w:val="1A1A2E"/>
                <w:sz w:val="17"/>
              </w:rPr>
              <w:t>SEO, free invoicing, templates, calculators and referrals</w:t>
            </w:r>
          </w:p>
        </w:tc>
        <w:tc>
          <w:tcPr>
            <w:tcW w:type="dxa" w:w="3456"/>
            <w:tcMar>
              <w:top w:w="95" w:type="dxa"/>
              <w:start w:w="100" w:type="dxa"/>
              <w:bottom w:w="95" w:type="dxa"/>
              <w:end w:w="100" w:type="dxa"/>
            </w:tcMar>
          </w:tcPr>
          <w:p>
            <w:pPr>
              <w:spacing w:after="0"/>
            </w:pPr>
            <w:r>
              <w:rPr>
                <w:rFonts w:ascii="Calibri" w:hAnsi="Calibri"/>
                <w:b w:val="0"/>
                <w:i w:val="0"/>
                <w:color w:val="1A1A2E"/>
                <w:sz w:val="17"/>
              </w:rPr>
              <w:t>Signup → first invoice activation; organic CAC</w:t>
            </w:r>
          </w:p>
        </w:tc>
      </w:tr>
      <w:tr>
        <w:trPr>
          <w:cantSplit w:val="true"/>
        </w:trPr>
        <w:tc>
          <w:tcPr>
            <w:tcW w:type="dxa" w:w="1728"/>
            <w:tcMar>
              <w:top w:w="95" w:type="dxa"/>
              <w:start w:w="100" w:type="dxa"/>
              <w:bottom w:w="95" w:type="dxa"/>
              <w:end w:w="100" w:type="dxa"/>
            </w:tcMar>
            <w:shd w:fill="F8F9FB"/>
          </w:tcPr>
          <w:p>
            <w:pPr>
              <w:spacing w:after="0"/>
            </w:pPr>
            <w:r>
              <w:rPr>
                <w:rFonts w:ascii="Calibri" w:hAnsi="Calibri"/>
                <w:b w:val="0"/>
                <w:i w:val="0"/>
                <w:color w:val="1A1A2E"/>
                <w:sz w:val="17"/>
              </w:rPr>
              <w:t>Assisted activation</w:t>
            </w:r>
          </w:p>
        </w:tc>
        <w:tc>
          <w:tcPr>
            <w:tcW w:type="dxa" w:w="4176"/>
            <w:tcMar>
              <w:top w:w="95" w:type="dxa"/>
              <w:start w:w="100" w:type="dxa"/>
              <w:bottom w:w="95" w:type="dxa"/>
              <w:end w:w="100" w:type="dxa"/>
            </w:tcMar>
            <w:shd w:fill="F8F9FB"/>
          </w:tcPr>
          <w:p>
            <w:pPr>
              <w:spacing w:after="0"/>
            </w:pPr>
            <w:r>
              <w:rPr>
                <w:rFonts w:ascii="Calibri" w:hAnsi="Calibri"/>
                <w:b w:val="0"/>
                <w:i w:val="0"/>
                <w:color w:val="1A1A2E"/>
                <w:sz w:val="17"/>
              </w:rPr>
              <w:t>Import documents, connect inbox, reach first useful close</w:t>
            </w:r>
          </w:p>
        </w:tc>
        <w:tc>
          <w:tcPr>
            <w:tcW w:type="dxa" w:w="3456"/>
            <w:tcMar>
              <w:top w:w="95" w:type="dxa"/>
              <w:start w:w="100" w:type="dxa"/>
              <w:bottom w:w="95" w:type="dxa"/>
              <w:end w:w="100" w:type="dxa"/>
            </w:tcMar>
            <w:shd w:fill="F8F9FB"/>
          </w:tcPr>
          <w:p>
            <w:pPr>
              <w:spacing w:after="0"/>
            </w:pPr>
            <w:r>
              <w:rPr>
                <w:rFonts w:ascii="Calibri" w:hAnsi="Calibri"/>
                <w:b w:val="0"/>
                <w:i w:val="0"/>
                <w:color w:val="1A1A2E"/>
                <w:sz w:val="17"/>
              </w:rPr>
              <w:t>Time to value; completion rate; support load</w:t>
            </w:r>
          </w:p>
        </w:tc>
      </w:tr>
      <w:tr>
        <w:trPr>
          <w:cantSplit w:val="true"/>
        </w:trPr>
        <w:tc>
          <w:tcPr>
            <w:tcW w:type="dxa" w:w="1728"/>
            <w:tcMar>
              <w:top w:w="95" w:type="dxa"/>
              <w:start w:w="100" w:type="dxa"/>
              <w:bottom w:w="95" w:type="dxa"/>
              <w:end w:w="100" w:type="dxa"/>
            </w:tcMar>
          </w:tcPr>
          <w:p>
            <w:pPr>
              <w:spacing w:after="0"/>
            </w:pPr>
            <w:r>
              <w:rPr>
                <w:rFonts w:ascii="Calibri" w:hAnsi="Calibri"/>
                <w:b w:val="0"/>
                <w:i w:val="0"/>
                <w:color w:val="1A1A2E"/>
                <w:sz w:val="17"/>
              </w:rPr>
              <w:t>Accountant partners</w:t>
            </w:r>
          </w:p>
        </w:tc>
        <w:tc>
          <w:tcPr>
            <w:tcW w:type="dxa" w:w="4176"/>
            <w:tcMar>
              <w:top w:w="95" w:type="dxa"/>
              <w:start w:w="100" w:type="dxa"/>
              <w:bottom w:w="95" w:type="dxa"/>
              <w:end w:w="100" w:type="dxa"/>
            </w:tcMar>
          </w:tcPr>
          <w:p>
            <w:pPr>
              <w:spacing w:after="0"/>
            </w:pPr>
            <w:r>
              <w:rPr>
                <w:rFonts w:ascii="Calibri" w:hAnsi="Calibri"/>
                <w:b w:val="0"/>
                <w:i w:val="0"/>
                <w:color w:val="1A1A2E"/>
                <w:sz w:val="17"/>
              </w:rPr>
              <w:t>Design partners, client rollout playbooks and enablement</w:t>
            </w:r>
          </w:p>
        </w:tc>
        <w:tc>
          <w:tcPr>
            <w:tcW w:type="dxa" w:w="3456"/>
            <w:tcMar>
              <w:top w:w="95" w:type="dxa"/>
              <w:start w:w="100" w:type="dxa"/>
              <w:bottom w:w="95" w:type="dxa"/>
              <w:end w:w="100" w:type="dxa"/>
            </w:tcMar>
          </w:tcPr>
          <w:p>
            <w:pPr>
              <w:spacing w:after="0"/>
            </w:pPr>
            <w:r>
              <w:rPr>
                <w:rFonts w:ascii="Calibri" w:hAnsi="Calibri"/>
                <w:b w:val="0"/>
                <w:i w:val="0"/>
                <w:color w:val="1A1A2E"/>
                <w:sz w:val="17"/>
              </w:rPr>
              <w:t>Clients activated per partner; partner-sourced ARR</w:t>
            </w:r>
          </w:p>
        </w:tc>
      </w:tr>
      <w:tr>
        <w:trPr>
          <w:cantSplit w:val="true"/>
        </w:trPr>
        <w:tc>
          <w:tcPr>
            <w:tcW w:type="dxa" w:w="1728"/>
            <w:tcMar>
              <w:top w:w="95" w:type="dxa"/>
              <w:start w:w="100" w:type="dxa"/>
              <w:bottom w:w="95" w:type="dxa"/>
              <w:end w:w="100" w:type="dxa"/>
            </w:tcMar>
            <w:shd w:fill="F8F9FB"/>
          </w:tcPr>
          <w:p>
            <w:pPr>
              <w:spacing w:after="0"/>
            </w:pPr>
            <w:r>
              <w:rPr>
                <w:rFonts w:ascii="Calibri" w:hAnsi="Calibri"/>
                <w:b w:val="0"/>
                <w:i w:val="0"/>
                <w:color w:val="1A1A2E"/>
                <w:sz w:val="17"/>
              </w:rPr>
              <w:t>Expansion</w:t>
            </w:r>
          </w:p>
        </w:tc>
        <w:tc>
          <w:tcPr>
            <w:tcW w:type="dxa" w:w="4176"/>
            <w:tcMar>
              <w:top w:w="95" w:type="dxa"/>
              <w:start w:w="100" w:type="dxa"/>
              <w:bottom w:w="95" w:type="dxa"/>
              <w:end w:w="100" w:type="dxa"/>
            </w:tcMar>
            <w:shd w:fill="F8F9FB"/>
          </w:tcPr>
          <w:p>
            <w:pPr>
              <w:spacing w:after="0"/>
            </w:pPr>
            <w:r>
              <w:rPr>
                <w:rFonts w:ascii="Calibri" w:hAnsi="Calibri"/>
                <w:b w:val="0"/>
                <w:i w:val="0"/>
                <w:color w:val="1A1A2E"/>
                <w:sz w:val="17"/>
              </w:rPr>
              <w:t>Add OCR, payroll, users, dossiers and connected spaces</w:t>
            </w:r>
          </w:p>
        </w:tc>
        <w:tc>
          <w:tcPr>
            <w:tcW w:type="dxa" w:w="3456"/>
            <w:tcMar>
              <w:top w:w="95" w:type="dxa"/>
              <w:start w:w="100" w:type="dxa"/>
              <w:bottom w:w="95" w:type="dxa"/>
              <w:end w:w="100" w:type="dxa"/>
            </w:tcMar>
            <w:shd w:fill="F8F9FB"/>
          </w:tcPr>
          <w:p>
            <w:pPr>
              <w:spacing w:after="0"/>
            </w:pPr>
            <w:r>
              <w:rPr>
                <w:rFonts w:ascii="Calibri" w:hAnsi="Calibri"/>
                <w:b w:val="0"/>
                <w:i w:val="0"/>
                <w:color w:val="1A1A2E"/>
                <w:sz w:val="17"/>
              </w:rPr>
              <w:t>Net revenue retention; module attach rate</w:t>
            </w:r>
          </w:p>
        </w:tc>
      </w:tr>
    </w:tbl>
    <w:p>
      <w:pPr>
        <w:spacing w:after="20"/>
      </w:pPr>
    </w:p>
    <w:p>
      <w:pPr>
        <w:pStyle w:val="Heading1"/>
        <w:keepNext/>
      </w:pPr>
      <w:r>
        <w:t>9. Defensibility</w:t>
      </w:r>
    </w:p>
    <w:p>
      <w:pPr>
        <w:pStyle w:val="ListBullet"/>
        <w:spacing w:after="100" w:line="264" w:lineRule="auto"/>
        <w:ind w:left="720" w:hanging="360"/>
      </w:pPr>
      <w:r>
        <w:rPr>
          <w:rFonts w:ascii="Calibri" w:hAnsi="Calibri"/>
          <w:b w:val="0"/>
          <w:i w:val="0"/>
          <w:color w:val="1A1A2E"/>
          <w:sz w:val="21"/>
        </w:rPr>
        <w:t>Local operating layer: TVA, CGNC, payroll, Moroccan identifiers and document conventions.</w:t>
      </w:r>
    </w:p>
    <w:p>
      <w:pPr>
        <w:pStyle w:val="ListBullet"/>
        <w:spacing w:after="100" w:line="264" w:lineRule="auto"/>
        <w:ind w:left="720" w:hanging="360"/>
      </w:pPr>
      <w:r>
        <w:rPr>
          <w:rFonts w:ascii="Calibri" w:hAnsi="Calibri"/>
          <w:b w:val="0"/>
          <w:i w:val="0"/>
          <w:color w:val="1A1A2E"/>
          <w:sz w:val="21"/>
        </w:rPr>
        <w:t>Workflow graph: documents link to transactions, invoices, payments and accounting entries.</w:t>
      </w:r>
    </w:p>
    <w:p>
      <w:pPr>
        <w:pStyle w:val="ListBullet"/>
        <w:spacing w:after="100" w:line="264" w:lineRule="auto"/>
        <w:ind w:left="720" w:hanging="360"/>
      </w:pPr>
      <w:r>
        <w:rPr>
          <w:rFonts w:ascii="Calibri" w:hAnsi="Calibri"/>
          <w:b w:val="0"/>
          <w:i w:val="0"/>
          <w:color w:val="1A1A2E"/>
          <w:sz w:val="21"/>
        </w:rPr>
        <w:t>Two-sided adoption: businesses and accountants work on the same financial record.</w:t>
      </w:r>
    </w:p>
    <w:p>
      <w:pPr>
        <w:pStyle w:val="ListBullet"/>
        <w:spacing w:after="100" w:line="264" w:lineRule="auto"/>
        <w:ind w:left="720" w:hanging="360"/>
      </w:pPr>
      <w:r>
        <w:rPr>
          <w:rFonts w:ascii="Calibri" w:hAnsi="Calibri"/>
          <w:b w:val="0"/>
          <w:i w:val="0"/>
          <w:color w:val="1A1A2E"/>
          <w:sz w:val="21"/>
        </w:rPr>
        <w:t>Accumulated workflow context: better automation and higher switching cost as records deepen.</w:t>
      </w:r>
    </w:p>
    <w:p>
      <w:pPr>
        <w:keepNext w:val="0"/>
        <w:spacing w:before="0" w:after="120" w:line="264" w:lineRule="auto"/>
      </w:pPr>
      <w:r>
        <w:rPr>
          <w:rFonts w:ascii="Calibri" w:hAnsi="Calibri"/>
          <w:b w:val="0"/>
          <w:i w:val="0"/>
          <w:color w:val="1A1A2E"/>
          <w:sz w:val="22"/>
        </w:rPr>
        <w:t>Localization is the entry point; the defensible asset is the connected workflow and distribution relationship.</w:t>
      </w:r>
    </w:p>
    <w:p>
      <w:pPr>
        <w:pStyle w:val="Heading1"/>
        <w:keepNext/>
      </w:pPr>
      <w:r>
        <w:t>10. Execution evidence and readiness</w:t>
      </w:r>
    </w:p>
    <w:p>
      <w:pPr>
        <w:keepNext w:val="0"/>
        <w:spacing w:before="0" w:after="120" w:line="264" w:lineRule="auto"/>
      </w:pPr>
      <w:r>
        <w:rPr>
          <w:rFonts w:ascii="Calibri" w:hAnsi="Calibri"/>
          <w:b w:val="0"/>
          <w:i w:val="0"/>
          <w:color w:val="1A1A2E"/>
          <w:sz w:val="22"/>
        </w:rPr>
        <w:t>The August 2026 application audit reports a production-shaped platform with tenant-scoped security, centralized administrative authorization, signed OAuth state, encrypted OAuth tokens, private document access, audit logging, a no-cache health endpoint and Sentry integration. The audit’s remediation update reports: 84 ordered migrations validated, 56 unit tests passing, eight desktop/mobile E2E smoke tests passing, TypeScript passing, production build passing with Webpack, and zero production dependency vulnerabilities at that time.</w:t>
      </w:r>
    </w:p>
    <w:p>
      <w:pPr>
        <w:keepNext w:val="0"/>
        <w:spacing w:before="0" w:after="120" w:line="264" w:lineRule="auto"/>
      </w:pPr>
      <w:r>
        <w:rPr>
          <w:rFonts w:ascii="Calibri" w:hAnsi="Calibri"/>
          <w:b w:val="0"/>
          <w:i w:val="0"/>
          <w:color w:val="1A1A2E"/>
          <w:sz w:val="22"/>
        </w:rPr>
        <w:t>Known diligence items remain: Moroccan legal review of public terms and retention periods, migration deployment/live-environment verification, and broader integration coverage for tenant boundaries and money-changing workflows.</w:t>
      </w:r>
    </w:p>
    <w:p>
      <w:pPr>
        <w:pStyle w:val="Heading1"/>
        <w:keepNext/>
      </w:pPr>
      <w:r>
        <w:t>11. 18-month capital plan</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1800"/>
            <w:tcMar>
              <w:top w:w="110" w:type="dxa"/>
              <w:start w:w="100" w:type="dxa"/>
              <w:bottom w:w="110" w:type="dxa"/>
              <w:end w:w="100" w:type="dxa"/>
            </w:tcMar>
            <w:shd w:fill="0D1526"/>
          </w:tcPr>
          <w:p>
            <w:pPr>
              <w:spacing w:after="0"/>
            </w:pPr>
            <w:r>
              <w:rPr>
                <w:rFonts w:ascii="Calibri" w:hAnsi="Calibri"/>
                <w:b/>
                <w:i w:val="0"/>
                <w:color w:val="FFFFFF"/>
                <w:sz w:val="18"/>
              </w:rPr>
              <w:t>Phase</w:t>
            </w:r>
          </w:p>
        </w:tc>
        <w:tc>
          <w:tcPr>
            <w:tcW w:type="dxa" w:w="2880"/>
            <w:tcMar>
              <w:top w:w="110" w:type="dxa"/>
              <w:start w:w="100" w:type="dxa"/>
              <w:bottom w:w="110" w:type="dxa"/>
              <w:end w:w="100" w:type="dxa"/>
            </w:tcMar>
            <w:shd w:fill="0D1526"/>
          </w:tcPr>
          <w:p>
            <w:pPr>
              <w:spacing w:after="0"/>
            </w:pPr>
            <w:r>
              <w:rPr>
                <w:rFonts w:ascii="Calibri" w:hAnsi="Calibri"/>
                <w:b/>
                <w:i w:val="0"/>
                <w:color w:val="FFFFFF"/>
                <w:sz w:val="18"/>
              </w:rPr>
              <w:t>Company milestone</w:t>
            </w:r>
          </w:p>
        </w:tc>
        <w:tc>
          <w:tcPr>
            <w:tcW w:type="dxa" w:w="2520"/>
            <w:tcMar>
              <w:top w:w="110" w:type="dxa"/>
              <w:start w:w="100" w:type="dxa"/>
              <w:bottom w:w="110" w:type="dxa"/>
              <w:end w:w="100" w:type="dxa"/>
            </w:tcMar>
            <w:shd w:fill="0D1526"/>
          </w:tcPr>
          <w:p>
            <w:pPr>
              <w:spacing w:after="0"/>
            </w:pPr>
            <w:r>
              <w:rPr>
                <w:rFonts w:ascii="Calibri" w:hAnsi="Calibri"/>
                <w:b/>
                <w:i w:val="0"/>
                <w:color w:val="FFFFFF"/>
                <w:sz w:val="18"/>
              </w:rPr>
              <w:t>Capital focus</w:t>
            </w:r>
          </w:p>
        </w:tc>
        <w:tc>
          <w:tcPr>
            <w:tcW w:type="dxa" w:w="2160"/>
            <w:tcMar>
              <w:top w:w="110" w:type="dxa"/>
              <w:start w:w="100" w:type="dxa"/>
              <w:bottom w:w="110" w:type="dxa"/>
              <w:end w:w="100" w:type="dxa"/>
            </w:tcMar>
            <w:shd w:fill="0D1526"/>
          </w:tcPr>
          <w:p>
            <w:pPr>
              <w:spacing w:after="0"/>
            </w:pPr>
            <w:r>
              <w:rPr>
                <w:rFonts w:ascii="Calibri" w:hAnsi="Calibri"/>
                <w:b/>
                <w:i w:val="0"/>
                <w:color w:val="FFFFFF"/>
                <w:sz w:val="18"/>
              </w:rPr>
              <w:t>Investor evidence</w:t>
            </w:r>
          </w:p>
        </w:tc>
      </w:tr>
      <w:tr>
        <w:trPr>
          <w:cantSplit w:val="true"/>
        </w:trPr>
        <w:tc>
          <w:tcPr>
            <w:tcW w:type="dxa" w:w="1800"/>
            <w:tcMar>
              <w:top w:w="95" w:type="dxa"/>
              <w:start w:w="100" w:type="dxa"/>
              <w:bottom w:w="95" w:type="dxa"/>
              <w:end w:w="100" w:type="dxa"/>
            </w:tcMar>
          </w:tcPr>
          <w:p>
            <w:pPr>
              <w:spacing w:after="0"/>
            </w:pPr>
            <w:r>
              <w:rPr>
                <w:rFonts w:ascii="Calibri" w:hAnsi="Calibri"/>
                <w:b w:val="0"/>
                <w:i w:val="0"/>
                <w:color w:val="1A1A2E"/>
                <w:sz w:val="17"/>
              </w:rPr>
              <w:t>0–6 months: Prove</w:t>
            </w:r>
          </w:p>
        </w:tc>
        <w:tc>
          <w:tcPr>
            <w:tcW w:type="dxa" w:w="2880"/>
            <w:tcMar>
              <w:top w:w="95" w:type="dxa"/>
              <w:start w:w="100" w:type="dxa"/>
              <w:bottom w:w="95" w:type="dxa"/>
              <w:end w:w="100" w:type="dxa"/>
            </w:tcMar>
          </w:tcPr>
          <w:p>
            <w:pPr>
              <w:spacing w:after="0"/>
            </w:pPr>
            <w:r>
              <w:rPr>
                <w:rFonts w:ascii="Calibri" w:hAnsi="Calibri"/>
                <w:b w:val="0"/>
                <w:i w:val="0"/>
                <w:color w:val="1A1A2E"/>
                <w:sz w:val="17"/>
              </w:rPr>
              <w:t>Repeatable paid activation; 10 accountant design partners</w:t>
            </w:r>
          </w:p>
        </w:tc>
        <w:tc>
          <w:tcPr>
            <w:tcW w:type="dxa" w:w="2520"/>
            <w:tcMar>
              <w:top w:w="95" w:type="dxa"/>
              <w:start w:w="100" w:type="dxa"/>
              <w:bottom w:w="95" w:type="dxa"/>
              <w:end w:w="100" w:type="dxa"/>
            </w:tcMar>
          </w:tcPr>
          <w:p>
            <w:pPr>
              <w:spacing w:after="0"/>
            </w:pPr>
            <w:r>
              <w:rPr>
                <w:rFonts w:ascii="Calibri" w:hAnsi="Calibri"/>
                <w:b w:val="0"/>
                <w:i w:val="0"/>
                <w:color w:val="1A1A2E"/>
                <w:sz w:val="17"/>
              </w:rPr>
              <w:t>Instrumentation, founder-led onboarding, product reliability</w:t>
            </w:r>
          </w:p>
        </w:tc>
        <w:tc>
          <w:tcPr>
            <w:tcW w:type="dxa" w:w="2160"/>
            <w:tcMar>
              <w:top w:w="95" w:type="dxa"/>
              <w:start w:w="100" w:type="dxa"/>
              <w:bottom w:w="95" w:type="dxa"/>
              <w:end w:w="100" w:type="dxa"/>
            </w:tcMar>
          </w:tcPr>
          <w:p>
            <w:pPr>
              <w:spacing w:after="0"/>
            </w:pPr>
            <w:r>
              <w:rPr>
                <w:rFonts w:ascii="Calibri" w:hAnsi="Calibri"/>
                <w:b w:val="0"/>
                <w:i w:val="0"/>
                <w:color w:val="1A1A2E"/>
                <w:sz w:val="17"/>
              </w:rPr>
              <w:t>Activation, conversion, time-to-value, design-partner usage</w:t>
            </w:r>
          </w:p>
        </w:tc>
      </w:tr>
      <w:tr>
        <w:trPr>
          <w:cantSplit w:val="true"/>
        </w:trPr>
        <w:tc>
          <w:tcPr>
            <w:tcW w:type="dxa" w:w="1800"/>
            <w:tcMar>
              <w:top w:w="95" w:type="dxa"/>
              <w:start w:w="100" w:type="dxa"/>
              <w:bottom w:w="95" w:type="dxa"/>
              <w:end w:w="100" w:type="dxa"/>
            </w:tcMar>
            <w:shd w:fill="F8F9FB"/>
          </w:tcPr>
          <w:p>
            <w:pPr>
              <w:spacing w:after="0"/>
            </w:pPr>
            <w:r>
              <w:rPr>
                <w:rFonts w:ascii="Calibri" w:hAnsi="Calibri"/>
                <w:b w:val="0"/>
                <w:i w:val="0"/>
                <w:color w:val="1A1A2E"/>
                <w:sz w:val="17"/>
              </w:rPr>
              <w:t>6–12 months: Repeat</w:t>
            </w:r>
          </w:p>
        </w:tc>
        <w:tc>
          <w:tcPr>
            <w:tcW w:type="dxa" w:w="2880"/>
            <w:tcMar>
              <w:top w:w="95" w:type="dxa"/>
              <w:start w:w="100" w:type="dxa"/>
              <w:bottom w:w="95" w:type="dxa"/>
              <w:end w:w="100" w:type="dxa"/>
            </w:tcMar>
            <w:shd w:fill="F8F9FB"/>
          </w:tcPr>
          <w:p>
            <w:pPr>
              <w:spacing w:after="0"/>
            </w:pPr>
            <w:r>
              <w:rPr>
                <w:rFonts w:ascii="Calibri" w:hAnsi="Calibri"/>
                <w:b w:val="0"/>
                <w:i w:val="0"/>
                <w:color w:val="1A1A2E"/>
                <w:sz w:val="17"/>
              </w:rPr>
              <w:t>Standardized onboarding and partner portfolio rollout</w:t>
            </w:r>
          </w:p>
        </w:tc>
        <w:tc>
          <w:tcPr>
            <w:tcW w:type="dxa" w:w="2520"/>
            <w:tcMar>
              <w:top w:w="95" w:type="dxa"/>
              <w:start w:w="100" w:type="dxa"/>
              <w:bottom w:w="95" w:type="dxa"/>
              <w:end w:w="100" w:type="dxa"/>
            </w:tcMar>
            <w:shd w:fill="F8F9FB"/>
          </w:tcPr>
          <w:p>
            <w:pPr>
              <w:spacing w:after="0"/>
            </w:pPr>
            <w:r>
              <w:rPr>
                <w:rFonts w:ascii="Calibri" w:hAnsi="Calibri"/>
                <w:b w:val="0"/>
                <w:i w:val="0"/>
                <w:color w:val="1A1A2E"/>
                <w:sz w:val="17"/>
              </w:rPr>
              <w:t>Migration playbooks, partner enablement, customer success</w:t>
            </w:r>
          </w:p>
        </w:tc>
        <w:tc>
          <w:tcPr>
            <w:tcW w:type="dxa" w:w="2160"/>
            <w:tcMar>
              <w:top w:w="95" w:type="dxa"/>
              <w:start w:w="100" w:type="dxa"/>
              <w:bottom w:w="95" w:type="dxa"/>
              <w:end w:w="100" w:type="dxa"/>
            </w:tcMar>
            <w:shd w:fill="F8F9FB"/>
          </w:tcPr>
          <w:p>
            <w:pPr>
              <w:spacing w:after="0"/>
            </w:pPr>
            <w:r>
              <w:rPr>
                <w:rFonts w:ascii="Calibri" w:hAnsi="Calibri"/>
                <w:b w:val="0"/>
                <w:i w:val="0"/>
                <w:color w:val="1A1A2E"/>
                <w:sz w:val="17"/>
              </w:rPr>
              <w:t>Cohort retention, partner-sourced customers, expansion</w:t>
            </w:r>
          </w:p>
        </w:tc>
      </w:tr>
      <w:tr>
        <w:trPr>
          <w:cantSplit w:val="true"/>
        </w:trPr>
        <w:tc>
          <w:tcPr>
            <w:tcW w:type="dxa" w:w="1800"/>
            <w:tcMar>
              <w:top w:w="95" w:type="dxa"/>
              <w:start w:w="100" w:type="dxa"/>
              <w:bottom w:w="95" w:type="dxa"/>
              <w:end w:w="100" w:type="dxa"/>
            </w:tcMar>
          </w:tcPr>
          <w:p>
            <w:pPr>
              <w:spacing w:after="0"/>
            </w:pPr>
            <w:r>
              <w:rPr>
                <w:rFonts w:ascii="Calibri" w:hAnsi="Calibri"/>
                <w:b w:val="0"/>
                <w:i w:val="0"/>
                <w:color w:val="1A1A2E"/>
                <w:sz w:val="17"/>
              </w:rPr>
              <w:t>12–18 months: Scale</w:t>
            </w:r>
          </w:p>
        </w:tc>
        <w:tc>
          <w:tcPr>
            <w:tcW w:type="dxa" w:w="2880"/>
            <w:tcMar>
              <w:top w:w="95" w:type="dxa"/>
              <w:start w:w="100" w:type="dxa"/>
              <w:bottom w:w="95" w:type="dxa"/>
              <w:end w:w="100" w:type="dxa"/>
            </w:tcMar>
          </w:tcPr>
          <w:p>
            <w:pPr>
              <w:spacing w:after="0"/>
            </w:pPr>
            <w:r>
              <w:rPr>
                <w:rFonts w:ascii="Calibri" w:hAnsi="Calibri"/>
                <w:b w:val="0"/>
                <w:i w:val="0"/>
                <w:color w:val="1A1A2E"/>
                <w:sz w:val="17"/>
              </w:rPr>
              <w:t>Broader distribution and regional readiness</w:t>
            </w:r>
          </w:p>
        </w:tc>
        <w:tc>
          <w:tcPr>
            <w:tcW w:type="dxa" w:w="2520"/>
            <w:tcMar>
              <w:top w:w="95" w:type="dxa"/>
              <w:start w:w="100" w:type="dxa"/>
              <w:bottom w:w="95" w:type="dxa"/>
              <w:end w:w="100" w:type="dxa"/>
            </w:tcMar>
          </w:tcPr>
          <w:p>
            <w:pPr>
              <w:spacing w:after="0"/>
            </w:pPr>
            <w:r>
              <w:rPr>
                <w:rFonts w:ascii="Calibri" w:hAnsi="Calibri"/>
                <w:b w:val="0"/>
                <w:i w:val="0"/>
                <w:color w:val="1A1A2E"/>
                <w:sz w:val="17"/>
              </w:rPr>
              <w:t>Sales/CS, automation depth, compliance and regional preparation</w:t>
            </w:r>
          </w:p>
        </w:tc>
        <w:tc>
          <w:tcPr>
            <w:tcW w:type="dxa" w:w="2160"/>
            <w:tcMar>
              <w:top w:w="95" w:type="dxa"/>
              <w:start w:w="100" w:type="dxa"/>
              <w:bottom w:w="95" w:type="dxa"/>
              <w:end w:w="100" w:type="dxa"/>
            </w:tcMar>
          </w:tcPr>
          <w:p>
            <w:pPr>
              <w:spacing w:after="0"/>
            </w:pPr>
            <w:r>
              <w:rPr>
                <w:rFonts w:ascii="Calibri" w:hAnsi="Calibri"/>
                <w:b w:val="0"/>
                <w:i w:val="0"/>
                <w:color w:val="1A1A2E"/>
                <w:sz w:val="17"/>
              </w:rPr>
              <w:t>CAC payback, NRR, channel productivity, readiness gates</w:t>
            </w:r>
          </w:p>
        </w:tc>
      </w:tr>
    </w:tbl>
    <w:p>
      <w:pPr>
        <w:spacing w:after="20"/>
      </w:pPr>
    </w:p>
    <w:p>
      <w:pPr>
        <w:pStyle w:val="Heading1"/>
        <w:keepNext/>
      </w:pPr>
      <w:r>
        <w:t>12. Funding ask and use of funds</w:t>
      </w:r>
    </w:p>
    <w:tbl>
      <w:tblPr>
        <w:tblW w:type="auto" w:w="0"/>
        <w:jc w:val="center"/>
        <w:tblLayout w:type="fixed"/>
        <w:tblLook w:firstColumn="1" w:firstRow="1" w:lastColumn="0" w:lastRow="0" w:noHBand="0" w:noVBand="1" w:val="04A0"/>
      </w:tblPr>
      <w:tblGrid>
        <w:gridCol w:w="9360"/>
      </w:tblGrid>
      <w:tr>
        <w:tc>
          <w:tcPr>
            <w:tcW w:type="dxa" w:w="9360"/>
            <w:tcMar>
              <w:top w:w="150" w:type="dxa"/>
              <w:start w:w="180" w:type="dxa"/>
              <w:bottom w:w="150" w:type="dxa"/>
              <w:end w:w="180" w:type="dxa"/>
            </w:tcMar>
            <w:shd w:fill="FFF4CC"/>
          </w:tcPr>
          <w:p>
            <w:pPr>
              <w:spacing w:after="0"/>
            </w:pPr>
            <w:r>
              <w:rPr>
                <w:rFonts w:ascii="Calibri" w:hAnsi="Calibri"/>
                <w:b/>
                <w:i w:val="0"/>
                <w:color w:val="9B1C1C"/>
                <w:sz w:val="21"/>
              </w:rPr>
              <w:t xml:space="preserve">FOUNDER INPUT REQUIRED  </w:t>
            </w:r>
            <w:r>
              <w:rPr>
                <w:rFonts w:ascii="Calibri" w:hAnsi="Calibri"/>
                <w:b w:val="0"/>
                <w:i w:val="0"/>
                <w:color w:val="1A1A2E"/>
                <w:sz w:val="21"/>
              </w:rPr>
              <w:t>Confirm round size, currency, instrument, valuation/cap, minimum check, target close date, committed capital and current runway before circulation.</w:t>
            </w:r>
          </w:p>
        </w:tc>
      </w:tr>
    </w:tbl>
    <w:p>
      <w:pPr>
        <w:spacing w:after="20"/>
      </w:pPr>
    </w:p>
    <w:tbl>
      <w:tblPr>
        <w:tblW w:type="auto" w:w="0"/>
        <w:jc w:val="center"/>
        <w:tblLayout w:type="fixed"/>
        <w:tblLook w:firstColumn="1" w:firstRow="1" w:lastColumn="0" w:lastRow="0" w:noHBand="0" w:noVBand="1" w:val="04A0"/>
      </w:tblPr>
      <w:tblGrid>
        <w:gridCol w:w="3120"/>
        <w:gridCol w:w="3120"/>
        <w:gridCol w:w="3120"/>
      </w:tblGrid>
      <w:tr>
        <w:trPr>
          <w:tblHeader w:val="true"/>
          <w:cantSplit w:val="true"/>
        </w:trPr>
        <w:tc>
          <w:tcPr>
            <w:tcW w:type="dxa" w:w="2376"/>
            <w:tcMar>
              <w:top w:w="110" w:type="dxa"/>
              <w:start w:w="100" w:type="dxa"/>
              <w:bottom w:w="110" w:type="dxa"/>
              <w:end w:w="100" w:type="dxa"/>
            </w:tcMar>
            <w:shd w:fill="0D1526"/>
          </w:tcPr>
          <w:p>
            <w:pPr>
              <w:spacing w:after="0"/>
            </w:pPr>
            <w:r>
              <w:rPr>
                <w:rFonts w:ascii="Calibri" w:hAnsi="Calibri"/>
                <w:b/>
                <w:i w:val="0"/>
                <w:color w:val="FFFFFF"/>
                <w:sz w:val="18"/>
              </w:rPr>
              <w:t>Use-of-funds bucket</w:t>
            </w:r>
          </w:p>
        </w:tc>
        <w:tc>
          <w:tcPr>
            <w:tcW w:type="dxa" w:w="5472"/>
            <w:tcMar>
              <w:top w:w="110" w:type="dxa"/>
              <w:start w:w="100" w:type="dxa"/>
              <w:bottom w:w="110" w:type="dxa"/>
              <w:end w:w="100" w:type="dxa"/>
            </w:tcMar>
            <w:shd w:fill="0D1526"/>
          </w:tcPr>
          <w:p>
            <w:pPr>
              <w:spacing w:after="0"/>
            </w:pPr>
            <w:r>
              <w:rPr>
                <w:rFonts w:ascii="Calibri" w:hAnsi="Calibri"/>
                <w:b/>
                <w:i w:val="0"/>
                <w:color w:val="FFFFFF"/>
                <w:sz w:val="18"/>
              </w:rPr>
              <w:t>Suggested purpose</w:t>
            </w:r>
          </w:p>
        </w:tc>
        <w:tc>
          <w:tcPr>
            <w:tcW w:type="dxa" w:w="1512"/>
            <w:tcMar>
              <w:top w:w="110" w:type="dxa"/>
              <w:start w:w="100" w:type="dxa"/>
              <w:bottom w:w="110" w:type="dxa"/>
              <w:end w:w="100" w:type="dxa"/>
            </w:tcMar>
            <w:shd w:fill="0D1526"/>
          </w:tcPr>
          <w:p>
            <w:pPr>
              <w:spacing w:after="0"/>
            </w:pPr>
            <w:r>
              <w:rPr>
                <w:rFonts w:ascii="Calibri" w:hAnsi="Calibri"/>
                <w:b/>
                <w:i w:val="0"/>
                <w:color w:val="FFFFFF"/>
                <w:sz w:val="18"/>
              </w:rPr>
              <w:t>Allocation</w:t>
            </w:r>
          </w:p>
        </w:tc>
      </w:tr>
      <w:tr>
        <w:trPr>
          <w:cantSplit w:val="true"/>
        </w:trPr>
        <w:tc>
          <w:tcPr>
            <w:tcW w:type="dxa" w:w="2376"/>
            <w:tcMar>
              <w:top w:w="95" w:type="dxa"/>
              <w:start w:w="100" w:type="dxa"/>
              <w:bottom w:w="95" w:type="dxa"/>
              <w:end w:w="100" w:type="dxa"/>
            </w:tcMar>
          </w:tcPr>
          <w:p>
            <w:pPr>
              <w:spacing w:after="0"/>
            </w:pPr>
            <w:r>
              <w:rPr>
                <w:rFonts w:ascii="Calibri" w:hAnsi="Calibri"/>
                <w:b w:val="0"/>
                <w:i w:val="0"/>
                <w:color w:val="1A1A2E"/>
                <w:sz w:val="17"/>
              </w:rPr>
              <w:t>Product &amp; engineering</w:t>
            </w:r>
          </w:p>
        </w:tc>
        <w:tc>
          <w:tcPr>
            <w:tcW w:type="dxa" w:w="5472"/>
            <w:tcMar>
              <w:top w:w="95" w:type="dxa"/>
              <w:start w:w="100" w:type="dxa"/>
              <w:bottom w:w="95" w:type="dxa"/>
              <w:end w:w="100" w:type="dxa"/>
            </w:tcMar>
          </w:tcPr>
          <w:p>
            <w:pPr>
              <w:spacing w:after="0"/>
            </w:pPr>
            <w:r>
              <w:rPr>
                <w:rFonts w:ascii="Calibri" w:hAnsi="Calibri"/>
                <w:b w:val="0"/>
                <w:i w:val="0"/>
                <w:color w:val="1A1A2E"/>
                <w:sz w:val="17"/>
              </w:rPr>
              <w:t>Reliability, workflow automation, integrations and instrumentation</w:t>
            </w:r>
          </w:p>
        </w:tc>
        <w:tc>
          <w:tcPr>
            <w:tcW w:type="dxa" w:w="1512"/>
            <w:tcMar>
              <w:top w:w="95" w:type="dxa"/>
              <w:start w:w="100" w:type="dxa"/>
              <w:bottom w:w="95" w:type="dxa"/>
              <w:end w:w="100" w:type="dxa"/>
            </w:tcMar>
          </w:tcPr>
          <w:p>
            <w:pPr>
              <w:spacing w:after="0"/>
            </w:pPr>
            <w:r>
              <w:rPr>
                <w:rFonts w:ascii="Calibri" w:hAnsi="Calibri"/>
                <w:b w:val="0"/>
                <w:i w:val="0"/>
                <w:color w:val="1A1A2E"/>
                <w:sz w:val="17"/>
              </w:rPr>
              <w:t>TBD</w:t>
            </w:r>
          </w:p>
        </w:tc>
      </w:tr>
      <w:tr>
        <w:trPr>
          <w:cantSplit w:val="true"/>
        </w:trPr>
        <w:tc>
          <w:tcPr>
            <w:tcW w:type="dxa" w:w="2376"/>
            <w:tcMar>
              <w:top w:w="95" w:type="dxa"/>
              <w:start w:w="100" w:type="dxa"/>
              <w:bottom w:w="95" w:type="dxa"/>
              <w:end w:w="100" w:type="dxa"/>
            </w:tcMar>
            <w:shd w:fill="F8F9FB"/>
          </w:tcPr>
          <w:p>
            <w:pPr>
              <w:spacing w:after="0"/>
            </w:pPr>
            <w:r>
              <w:rPr>
                <w:rFonts w:ascii="Calibri" w:hAnsi="Calibri"/>
                <w:b w:val="0"/>
                <w:i w:val="0"/>
                <w:color w:val="1A1A2E"/>
                <w:sz w:val="17"/>
              </w:rPr>
              <w:t>Go-to-market</w:t>
            </w:r>
          </w:p>
        </w:tc>
        <w:tc>
          <w:tcPr>
            <w:tcW w:type="dxa" w:w="5472"/>
            <w:tcMar>
              <w:top w:w="95" w:type="dxa"/>
              <w:start w:w="100" w:type="dxa"/>
              <w:bottom w:w="95" w:type="dxa"/>
              <w:end w:w="100" w:type="dxa"/>
            </w:tcMar>
            <w:shd w:fill="F8F9FB"/>
          </w:tcPr>
          <w:p>
            <w:pPr>
              <w:spacing w:after="0"/>
            </w:pPr>
            <w:r>
              <w:rPr>
                <w:rFonts w:ascii="Calibri" w:hAnsi="Calibri"/>
                <w:b w:val="0"/>
                <w:i w:val="0"/>
                <w:color w:val="1A1A2E"/>
                <w:sz w:val="17"/>
              </w:rPr>
              <w:t>Founder-led sales, content/SEO, design partners and accountant channel</w:t>
            </w:r>
          </w:p>
        </w:tc>
        <w:tc>
          <w:tcPr>
            <w:tcW w:type="dxa" w:w="1512"/>
            <w:tcMar>
              <w:top w:w="95" w:type="dxa"/>
              <w:start w:w="100" w:type="dxa"/>
              <w:bottom w:w="95" w:type="dxa"/>
              <w:end w:w="100" w:type="dxa"/>
            </w:tcMar>
            <w:shd w:fill="F8F9FB"/>
          </w:tcPr>
          <w:p>
            <w:pPr>
              <w:spacing w:after="0"/>
            </w:pPr>
            <w:r>
              <w:rPr>
                <w:rFonts w:ascii="Calibri" w:hAnsi="Calibri"/>
                <w:b w:val="0"/>
                <w:i w:val="0"/>
                <w:color w:val="1A1A2E"/>
                <w:sz w:val="17"/>
              </w:rPr>
              <w:t>TBD</w:t>
            </w:r>
          </w:p>
        </w:tc>
      </w:tr>
      <w:tr>
        <w:trPr>
          <w:cantSplit w:val="true"/>
        </w:trPr>
        <w:tc>
          <w:tcPr>
            <w:tcW w:type="dxa" w:w="2376"/>
            <w:tcMar>
              <w:top w:w="95" w:type="dxa"/>
              <w:start w:w="100" w:type="dxa"/>
              <w:bottom w:w="95" w:type="dxa"/>
              <w:end w:w="100" w:type="dxa"/>
            </w:tcMar>
          </w:tcPr>
          <w:p>
            <w:pPr>
              <w:spacing w:after="0"/>
            </w:pPr>
            <w:r>
              <w:rPr>
                <w:rFonts w:ascii="Calibri" w:hAnsi="Calibri"/>
                <w:b w:val="0"/>
                <w:i w:val="0"/>
                <w:color w:val="1A1A2E"/>
                <w:sz w:val="17"/>
              </w:rPr>
              <w:t>Customer success</w:t>
            </w:r>
          </w:p>
        </w:tc>
        <w:tc>
          <w:tcPr>
            <w:tcW w:type="dxa" w:w="5472"/>
            <w:tcMar>
              <w:top w:w="95" w:type="dxa"/>
              <w:start w:w="100" w:type="dxa"/>
              <w:bottom w:w="95" w:type="dxa"/>
              <w:end w:w="100" w:type="dxa"/>
            </w:tcMar>
          </w:tcPr>
          <w:p>
            <w:pPr>
              <w:spacing w:after="0"/>
            </w:pPr>
            <w:r>
              <w:rPr>
                <w:rFonts w:ascii="Calibri" w:hAnsi="Calibri"/>
                <w:b w:val="0"/>
                <w:i w:val="0"/>
                <w:color w:val="1A1A2E"/>
                <w:sz w:val="17"/>
              </w:rPr>
              <w:t>Onboarding, migration and portfolio rollout playbooks</w:t>
            </w:r>
          </w:p>
        </w:tc>
        <w:tc>
          <w:tcPr>
            <w:tcW w:type="dxa" w:w="1512"/>
            <w:tcMar>
              <w:top w:w="95" w:type="dxa"/>
              <w:start w:w="100" w:type="dxa"/>
              <w:bottom w:w="95" w:type="dxa"/>
              <w:end w:w="100" w:type="dxa"/>
            </w:tcMar>
          </w:tcPr>
          <w:p>
            <w:pPr>
              <w:spacing w:after="0"/>
            </w:pPr>
            <w:r>
              <w:rPr>
                <w:rFonts w:ascii="Calibri" w:hAnsi="Calibri"/>
                <w:b w:val="0"/>
                <w:i w:val="0"/>
                <w:color w:val="1A1A2E"/>
                <w:sz w:val="17"/>
              </w:rPr>
              <w:t>TBD</w:t>
            </w:r>
          </w:p>
        </w:tc>
      </w:tr>
      <w:tr>
        <w:trPr>
          <w:cantSplit w:val="true"/>
        </w:trPr>
        <w:tc>
          <w:tcPr>
            <w:tcW w:type="dxa" w:w="2376"/>
            <w:tcMar>
              <w:top w:w="95" w:type="dxa"/>
              <w:start w:w="100" w:type="dxa"/>
              <w:bottom w:w="95" w:type="dxa"/>
              <w:end w:w="100" w:type="dxa"/>
            </w:tcMar>
            <w:shd w:fill="F8F9FB"/>
          </w:tcPr>
          <w:p>
            <w:pPr>
              <w:spacing w:after="0"/>
            </w:pPr>
            <w:r>
              <w:rPr>
                <w:rFonts w:ascii="Calibri" w:hAnsi="Calibri"/>
                <w:b w:val="0"/>
                <w:i w:val="0"/>
                <w:color w:val="1A1A2E"/>
                <w:sz w:val="17"/>
              </w:rPr>
              <w:t>Compliance &amp; operations</w:t>
            </w:r>
          </w:p>
        </w:tc>
        <w:tc>
          <w:tcPr>
            <w:tcW w:type="dxa" w:w="5472"/>
            <w:tcMar>
              <w:top w:w="95" w:type="dxa"/>
              <w:start w:w="100" w:type="dxa"/>
              <w:bottom w:w="95" w:type="dxa"/>
              <w:end w:w="100" w:type="dxa"/>
            </w:tcMar>
            <w:shd w:fill="F8F9FB"/>
          </w:tcPr>
          <w:p>
            <w:pPr>
              <w:spacing w:after="0"/>
            </w:pPr>
            <w:r>
              <w:rPr>
                <w:rFonts w:ascii="Calibri" w:hAnsi="Calibri"/>
                <w:b w:val="0"/>
                <w:i w:val="0"/>
                <w:color w:val="1A1A2E"/>
                <w:sz w:val="17"/>
              </w:rPr>
              <w:t>Legal, privacy, security validation and finance operations</w:t>
            </w:r>
          </w:p>
        </w:tc>
        <w:tc>
          <w:tcPr>
            <w:tcW w:type="dxa" w:w="1512"/>
            <w:tcMar>
              <w:top w:w="95" w:type="dxa"/>
              <w:start w:w="100" w:type="dxa"/>
              <w:bottom w:w="95" w:type="dxa"/>
              <w:end w:w="100" w:type="dxa"/>
            </w:tcMar>
            <w:shd w:fill="F8F9FB"/>
          </w:tcPr>
          <w:p>
            <w:pPr>
              <w:spacing w:after="0"/>
            </w:pPr>
            <w:r>
              <w:rPr>
                <w:rFonts w:ascii="Calibri" w:hAnsi="Calibri"/>
                <w:b w:val="0"/>
                <w:i w:val="0"/>
                <w:color w:val="1A1A2E"/>
                <w:sz w:val="17"/>
              </w:rPr>
              <w:t>TBD</w:t>
            </w:r>
          </w:p>
        </w:tc>
      </w:tr>
      <w:tr>
        <w:trPr>
          <w:cantSplit w:val="true"/>
        </w:trPr>
        <w:tc>
          <w:tcPr>
            <w:tcW w:type="dxa" w:w="2376"/>
            <w:tcMar>
              <w:top w:w="95" w:type="dxa"/>
              <w:start w:w="100" w:type="dxa"/>
              <w:bottom w:w="95" w:type="dxa"/>
              <w:end w:w="100" w:type="dxa"/>
            </w:tcMar>
          </w:tcPr>
          <w:p>
            <w:pPr>
              <w:spacing w:after="0"/>
            </w:pPr>
            <w:r>
              <w:rPr>
                <w:rFonts w:ascii="Calibri" w:hAnsi="Calibri"/>
                <w:b w:val="0"/>
                <w:i w:val="0"/>
                <w:color w:val="1A1A2E"/>
                <w:sz w:val="17"/>
              </w:rPr>
              <w:t>Contingency</w:t>
            </w:r>
          </w:p>
        </w:tc>
        <w:tc>
          <w:tcPr>
            <w:tcW w:type="dxa" w:w="5472"/>
            <w:tcMar>
              <w:top w:w="95" w:type="dxa"/>
              <w:start w:w="100" w:type="dxa"/>
              <w:bottom w:w="95" w:type="dxa"/>
              <w:end w:w="100" w:type="dxa"/>
            </w:tcMar>
          </w:tcPr>
          <w:p>
            <w:pPr>
              <w:spacing w:after="0"/>
            </w:pPr>
            <w:r>
              <w:rPr>
                <w:rFonts w:ascii="Calibri" w:hAnsi="Calibri"/>
                <w:b w:val="0"/>
                <w:i w:val="0"/>
                <w:color w:val="1A1A2E"/>
                <w:sz w:val="17"/>
              </w:rPr>
              <w:t>Operating buffer</w:t>
            </w:r>
          </w:p>
        </w:tc>
        <w:tc>
          <w:tcPr>
            <w:tcW w:type="dxa" w:w="1512"/>
            <w:tcMar>
              <w:top w:w="95" w:type="dxa"/>
              <w:start w:w="100" w:type="dxa"/>
              <w:bottom w:w="95" w:type="dxa"/>
              <w:end w:w="100" w:type="dxa"/>
            </w:tcMar>
          </w:tcPr>
          <w:p>
            <w:pPr>
              <w:spacing w:after="0"/>
            </w:pPr>
            <w:r>
              <w:rPr>
                <w:rFonts w:ascii="Calibri" w:hAnsi="Calibri"/>
                <w:b w:val="0"/>
                <w:i w:val="0"/>
                <w:color w:val="1A1A2E"/>
                <w:sz w:val="17"/>
              </w:rPr>
              <w:t>TBD</w:t>
            </w:r>
          </w:p>
        </w:tc>
      </w:tr>
    </w:tbl>
    <w:p>
      <w:pPr>
        <w:spacing w:after="20"/>
      </w:pPr>
    </w:p>
    <w:p>
      <w:pPr>
        <w:keepNext w:val="0"/>
        <w:spacing w:before="0" w:after="120" w:line="264" w:lineRule="auto"/>
      </w:pPr>
      <w:r>
        <w:rPr>
          <w:rFonts w:ascii="Calibri" w:hAnsi="Calibri"/>
          <w:b w:val="0"/>
          <w:i/>
          <w:color w:val="667085"/>
          <w:sz w:val="19"/>
        </w:rPr>
        <w:t>The companion workbook calculates funding amounts from an editable round size and allocation percentages and includes completion checks.</w:t>
      </w:r>
    </w:p>
    <w:p>
      <w:pPr>
        <w:pStyle w:val="Heading1"/>
        <w:keepNext/>
      </w:pPr>
      <w:r>
        <w:t>13. Key risks and mitigations</w:t>
      </w:r>
    </w:p>
    <w:tbl>
      <w:tblPr>
        <w:tblW w:type="auto" w:w="0"/>
        <w:jc w:val="center"/>
        <w:tblLayout w:type="fixed"/>
        <w:tblLook w:firstColumn="1" w:firstRow="1" w:lastColumn="0" w:lastRow="0" w:noHBand="0" w:noVBand="1" w:val="04A0"/>
      </w:tblPr>
      <w:tblGrid>
        <w:gridCol w:w="3120"/>
        <w:gridCol w:w="3120"/>
        <w:gridCol w:w="3120"/>
      </w:tblGrid>
      <w:tr>
        <w:trPr>
          <w:tblHeader w:val="true"/>
          <w:cantSplit w:val="true"/>
        </w:trPr>
        <w:tc>
          <w:tcPr>
            <w:tcW w:type="dxa" w:w="2232"/>
            <w:tcMar>
              <w:top w:w="110" w:type="dxa"/>
              <w:start w:w="100" w:type="dxa"/>
              <w:bottom w:w="110" w:type="dxa"/>
              <w:end w:w="100" w:type="dxa"/>
            </w:tcMar>
            <w:shd w:fill="0D1526"/>
          </w:tcPr>
          <w:p>
            <w:pPr>
              <w:spacing w:after="0"/>
            </w:pPr>
            <w:r>
              <w:rPr>
                <w:rFonts w:ascii="Calibri" w:hAnsi="Calibri"/>
                <w:b/>
                <w:i w:val="0"/>
                <w:color w:val="FFFFFF"/>
                <w:sz w:val="18"/>
              </w:rPr>
              <w:t>Risk</w:t>
            </w:r>
          </w:p>
        </w:tc>
        <w:tc>
          <w:tcPr>
            <w:tcW w:type="dxa" w:w="3456"/>
            <w:tcMar>
              <w:top w:w="110" w:type="dxa"/>
              <w:start w:w="100" w:type="dxa"/>
              <w:bottom w:w="110" w:type="dxa"/>
              <w:end w:w="100" w:type="dxa"/>
            </w:tcMar>
            <w:shd w:fill="0D1526"/>
          </w:tcPr>
          <w:p>
            <w:pPr>
              <w:spacing w:after="0"/>
            </w:pPr>
            <w:r>
              <w:rPr>
                <w:rFonts w:ascii="Calibri" w:hAnsi="Calibri"/>
                <w:b/>
                <w:i w:val="0"/>
                <w:color w:val="FFFFFF"/>
                <w:sz w:val="18"/>
              </w:rPr>
              <w:t>Why it matters</w:t>
            </w:r>
          </w:p>
        </w:tc>
        <w:tc>
          <w:tcPr>
            <w:tcW w:type="dxa" w:w="3672"/>
            <w:tcMar>
              <w:top w:w="110" w:type="dxa"/>
              <w:start w:w="100" w:type="dxa"/>
              <w:bottom w:w="110" w:type="dxa"/>
              <w:end w:w="100" w:type="dxa"/>
            </w:tcMar>
            <w:shd w:fill="0D1526"/>
          </w:tcPr>
          <w:p>
            <w:pPr>
              <w:spacing w:after="0"/>
            </w:pPr>
            <w:r>
              <w:rPr>
                <w:rFonts w:ascii="Calibri" w:hAnsi="Calibri"/>
                <w:b/>
                <w:i w:val="0"/>
                <w:color w:val="FFFFFF"/>
                <w:sz w:val="18"/>
              </w:rPr>
              <w:t>Mitigation / milestone</w:t>
            </w:r>
          </w:p>
        </w:tc>
      </w:tr>
      <w:tr>
        <w:trPr>
          <w:cantSplit w:val="true"/>
        </w:trPr>
        <w:tc>
          <w:tcPr>
            <w:tcW w:type="dxa" w:w="2232"/>
            <w:tcMar>
              <w:top w:w="95" w:type="dxa"/>
              <w:start w:w="100" w:type="dxa"/>
              <w:bottom w:w="95" w:type="dxa"/>
              <w:end w:w="100" w:type="dxa"/>
            </w:tcMar>
          </w:tcPr>
          <w:p>
            <w:pPr>
              <w:spacing w:after="0"/>
            </w:pPr>
            <w:r>
              <w:rPr>
                <w:rFonts w:ascii="Calibri" w:hAnsi="Calibri"/>
                <w:b w:val="0"/>
                <w:i w:val="0"/>
                <w:color w:val="1A1A2E"/>
                <w:sz w:val="17"/>
              </w:rPr>
              <w:t>Traction not yet evidenced</w:t>
            </w:r>
          </w:p>
        </w:tc>
        <w:tc>
          <w:tcPr>
            <w:tcW w:type="dxa" w:w="3456"/>
            <w:tcMar>
              <w:top w:w="95" w:type="dxa"/>
              <w:start w:w="100" w:type="dxa"/>
              <w:bottom w:w="95" w:type="dxa"/>
              <w:end w:w="100" w:type="dxa"/>
            </w:tcMar>
          </w:tcPr>
          <w:p>
            <w:pPr>
              <w:spacing w:after="0"/>
            </w:pPr>
            <w:r>
              <w:rPr>
                <w:rFonts w:ascii="Calibri" w:hAnsi="Calibri"/>
                <w:b w:val="0"/>
                <w:i w:val="0"/>
                <w:color w:val="1A1A2E"/>
                <w:sz w:val="17"/>
              </w:rPr>
              <w:t>Investors cannot distinguish build depth from market pull</w:t>
            </w:r>
          </w:p>
        </w:tc>
        <w:tc>
          <w:tcPr>
            <w:tcW w:type="dxa" w:w="3672"/>
            <w:tcMar>
              <w:top w:w="95" w:type="dxa"/>
              <w:start w:w="100" w:type="dxa"/>
              <w:bottom w:w="95" w:type="dxa"/>
              <w:end w:w="100" w:type="dxa"/>
            </w:tcMar>
          </w:tcPr>
          <w:p>
            <w:pPr>
              <w:spacing w:after="0"/>
            </w:pPr>
            <w:r>
              <w:rPr>
                <w:rFonts w:ascii="Calibri" w:hAnsi="Calibri"/>
                <w:b w:val="0"/>
                <w:i w:val="0"/>
                <w:color w:val="1A1A2E"/>
                <w:sz w:val="17"/>
              </w:rPr>
              <w:t>Publish cohort-based activation, paid conversion, retention and revenue</w:t>
            </w:r>
          </w:p>
        </w:tc>
      </w:tr>
      <w:tr>
        <w:trPr>
          <w:cantSplit w:val="true"/>
        </w:trPr>
        <w:tc>
          <w:tcPr>
            <w:tcW w:type="dxa" w:w="2232"/>
            <w:tcMar>
              <w:top w:w="95" w:type="dxa"/>
              <w:start w:w="100" w:type="dxa"/>
              <w:bottom w:w="95" w:type="dxa"/>
              <w:end w:w="100" w:type="dxa"/>
            </w:tcMar>
            <w:shd w:fill="F8F9FB"/>
          </w:tcPr>
          <w:p>
            <w:pPr>
              <w:spacing w:after="0"/>
            </w:pPr>
            <w:r>
              <w:rPr>
                <w:rFonts w:ascii="Calibri" w:hAnsi="Calibri"/>
                <w:b w:val="0"/>
                <w:i w:val="0"/>
                <w:color w:val="1A1A2E"/>
                <w:sz w:val="17"/>
              </w:rPr>
              <w:t>Complex product surface</w:t>
            </w:r>
          </w:p>
        </w:tc>
        <w:tc>
          <w:tcPr>
            <w:tcW w:type="dxa" w:w="3456"/>
            <w:tcMar>
              <w:top w:w="95" w:type="dxa"/>
              <w:start w:w="100" w:type="dxa"/>
              <w:bottom w:w="95" w:type="dxa"/>
              <w:end w:w="100" w:type="dxa"/>
            </w:tcMar>
            <w:shd w:fill="F8F9FB"/>
          </w:tcPr>
          <w:p>
            <w:pPr>
              <w:spacing w:after="0"/>
            </w:pPr>
            <w:r>
              <w:rPr>
                <w:rFonts w:ascii="Calibri" w:hAnsi="Calibri"/>
                <w:b w:val="0"/>
                <w:i w:val="0"/>
                <w:color w:val="1A1A2E"/>
                <w:sz w:val="17"/>
              </w:rPr>
              <w:t>Breadth can increase onboarding and support burden</w:t>
            </w:r>
          </w:p>
        </w:tc>
        <w:tc>
          <w:tcPr>
            <w:tcW w:type="dxa" w:w="3672"/>
            <w:tcMar>
              <w:top w:w="95" w:type="dxa"/>
              <w:start w:w="100" w:type="dxa"/>
              <w:bottom w:w="95" w:type="dxa"/>
              <w:end w:w="100" w:type="dxa"/>
            </w:tcMar>
            <w:shd w:fill="F8F9FB"/>
          </w:tcPr>
          <w:p>
            <w:pPr>
              <w:spacing w:after="0"/>
            </w:pPr>
            <w:r>
              <w:rPr>
                <w:rFonts w:ascii="Calibri" w:hAnsi="Calibri"/>
                <w:b w:val="0"/>
                <w:i w:val="0"/>
                <w:color w:val="1A1A2E"/>
                <w:sz w:val="17"/>
              </w:rPr>
              <w:t>Lead with one workflow; measure time-to-first-value and exception rates</w:t>
            </w:r>
          </w:p>
        </w:tc>
      </w:tr>
      <w:tr>
        <w:trPr>
          <w:cantSplit w:val="true"/>
        </w:trPr>
        <w:tc>
          <w:tcPr>
            <w:tcW w:type="dxa" w:w="2232"/>
            <w:tcMar>
              <w:top w:w="95" w:type="dxa"/>
              <w:start w:w="100" w:type="dxa"/>
              <w:bottom w:w="95" w:type="dxa"/>
              <w:end w:w="100" w:type="dxa"/>
            </w:tcMar>
          </w:tcPr>
          <w:p>
            <w:pPr>
              <w:spacing w:after="0"/>
            </w:pPr>
            <w:r>
              <w:rPr>
                <w:rFonts w:ascii="Calibri" w:hAnsi="Calibri"/>
                <w:b w:val="0"/>
                <w:i w:val="0"/>
                <w:color w:val="1A1A2E"/>
                <w:sz w:val="17"/>
              </w:rPr>
              <w:t>Accountant channel cycle</w:t>
            </w:r>
          </w:p>
        </w:tc>
        <w:tc>
          <w:tcPr>
            <w:tcW w:type="dxa" w:w="3456"/>
            <w:tcMar>
              <w:top w:w="95" w:type="dxa"/>
              <w:start w:w="100" w:type="dxa"/>
              <w:bottom w:w="95" w:type="dxa"/>
              <w:end w:w="100" w:type="dxa"/>
            </w:tcMar>
          </w:tcPr>
          <w:p>
            <w:pPr>
              <w:spacing w:after="0"/>
            </w:pPr>
            <w:r>
              <w:rPr>
                <w:rFonts w:ascii="Calibri" w:hAnsi="Calibri"/>
                <w:b w:val="0"/>
                <w:i w:val="0"/>
                <w:color w:val="1A1A2E"/>
                <w:sz w:val="17"/>
              </w:rPr>
              <w:t>Trust and portfolio migration can be slow</w:t>
            </w:r>
          </w:p>
        </w:tc>
        <w:tc>
          <w:tcPr>
            <w:tcW w:type="dxa" w:w="3672"/>
            <w:tcMar>
              <w:top w:w="95" w:type="dxa"/>
              <w:start w:w="100" w:type="dxa"/>
              <w:bottom w:w="95" w:type="dxa"/>
              <w:end w:w="100" w:type="dxa"/>
            </w:tcMar>
          </w:tcPr>
          <w:p>
            <w:pPr>
              <w:spacing w:after="0"/>
            </w:pPr>
            <w:r>
              <w:rPr>
                <w:rFonts w:ascii="Calibri" w:hAnsi="Calibri"/>
                <w:b w:val="0"/>
                <w:i w:val="0"/>
                <w:color w:val="1A1A2E"/>
                <w:sz w:val="17"/>
              </w:rPr>
              <w:t>Use design partners; standardize rollout and quantify partner productivity</w:t>
            </w:r>
          </w:p>
        </w:tc>
      </w:tr>
      <w:tr>
        <w:trPr>
          <w:cantSplit w:val="true"/>
        </w:trPr>
        <w:tc>
          <w:tcPr>
            <w:tcW w:type="dxa" w:w="2232"/>
            <w:tcMar>
              <w:top w:w="95" w:type="dxa"/>
              <w:start w:w="100" w:type="dxa"/>
              <w:bottom w:w="95" w:type="dxa"/>
              <w:end w:w="100" w:type="dxa"/>
            </w:tcMar>
            <w:shd w:fill="F8F9FB"/>
          </w:tcPr>
          <w:p>
            <w:pPr>
              <w:spacing w:after="0"/>
            </w:pPr>
            <w:r>
              <w:rPr>
                <w:rFonts w:ascii="Calibri" w:hAnsi="Calibri"/>
                <w:b w:val="0"/>
                <w:i w:val="0"/>
                <w:color w:val="1A1A2E"/>
                <w:sz w:val="17"/>
              </w:rPr>
              <w:t>Compliance dependency</w:t>
            </w:r>
          </w:p>
        </w:tc>
        <w:tc>
          <w:tcPr>
            <w:tcW w:type="dxa" w:w="3456"/>
            <w:tcMar>
              <w:top w:w="95" w:type="dxa"/>
              <w:start w:w="100" w:type="dxa"/>
              <w:bottom w:w="95" w:type="dxa"/>
              <w:end w:w="100" w:type="dxa"/>
            </w:tcMar>
            <w:shd w:fill="F8F9FB"/>
          </w:tcPr>
          <w:p>
            <w:pPr>
              <w:spacing w:after="0"/>
            </w:pPr>
            <w:r>
              <w:rPr>
                <w:rFonts w:ascii="Calibri" w:hAnsi="Calibri"/>
                <w:b w:val="0"/>
                <w:i w:val="0"/>
                <w:color w:val="1A1A2E"/>
                <w:sz w:val="17"/>
              </w:rPr>
              <w:t>Local accounting/tax changes can create operating risk</w:t>
            </w:r>
          </w:p>
        </w:tc>
        <w:tc>
          <w:tcPr>
            <w:tcW w:type="dxa" w:w="3672"/>
            <w:tcMar>
              <w:top w:w="95" w:type="dxa"/>
              <w:start w:w="100" w:type="dxa"/>
              <w:bottom w:w="95" w:type="dxa"/>
              <w:end w:w="100" w:type="dxa"/>
            </w:tcMar>
            <w:shd w:fill="F8F9FB"/>
          </w:tcPr>
          <w:p>
            <w:pPr>
              <w:spacing w:after="0"/>
            </w:pPr>
            <w:r>
              <w:rPr>
                <w:rFonts w:ascii="Calibri" w:hAnsi="Calibri"/>
                <w:b w:val="0"/>
                <w:i w:val="0"/>
                <w:color w:val="1A1A2E"/>
                <w:sz w:val="17"/>
              </w:rPr>
              <w:t>Named compliance ownership, change log and professional review</w:t>
            </w:r>
          </w:p>
        </w:tc>
      </w:tr>
      <w:tr>
        <w:trPr>
          <w:cantSplit w:val="true"/>
        </w:trPr>
        <w:tc>
          <w:tcPr>
            <w:tcW w:type="dxa" w:w="2232"/>
            <w:tcMar>
              <w:top w:w="95" w:type="dxa"/>
              <w:start w:w="100" w:type="dxa"/>
              <w:bottom w:w="95" w:type="dxa"/>
              <w:end w:w="100" w:type="dxa"/>
            </w:tcMar>
          </w:tcPr>
          <w:p>
            <w:pPr>
              <w:spacing w:after="0"/>
            </w:pPr>
            <w:r>
              <w:rPr>
                <w:rFonts w:ascii="Calibri" w:hAnsi="Calibri"/>
                <w:b w:val="0"/>
                <w:i w:val="0"/>
                <w:color w:val="1A1A2E"/>
                <w:sz w:val="17"/>
              </w:rPr>
              <w:t>Founder concentration</w:t>
            </w:r>
          </w:p>
        </w:tc>
        <w:tc>
          <w:tcPr>
            <w:tcW w:type="dxa" w:w="3456"/>
            <w:tcMar>
              <w:top w:w="95" w:type="dxa"/>
              <w:start w:w="100" w:type="dxa"/>
              <w:bottom w:w="95" w:type="dxa"/>
              <w:end w:w="100" w:type="dxa"/>
            </w:tcMar>
          </w:tcPr>
          <w:p>
            <w:pPr>
              <w:spacing w:after="0"/>
            </w:pPr>
            <w:r>
              <w:rPr>
                <w:rFonts w:ascii="Calibri" w:hAnsi="Calibri"/>
                <w:b w:val="0"/>
                <w:i w:val="0"/>
                <w:color w:val="1A1A2E"/>
                <w:sz w:val="17"/>
              </w:rPr>
              <w:t>Product, domain and go-to-market knowledge are concentrated</w:t>
            </w:r>
          </w:p>
        </w:tc>
        <w:tc>
          <w:tcPr>
            <w:tcW w:type="dxa" w:w="3672"/>
            <w:tcMar>
              <w:top w:w="95" w:type="dxa"/>
              <w:start w:w="100" w:type="dxa"/>
              <w:bottom w:w="95" w:type="dxa"/>
              <w:end w:w="100" w:type="dxa"/>
            </w:tcMar>
          </w:tcPr>
          <w:p>
            <w:pPr>
              <w:spacing w:after="0"/>
            </w:pPr>
            <w:r>
              <w:rPr>
                <w:rFonts w:ascii="Calibri" w:hAnsi="Calibri"/>
                <w:b w:val="0"/>
                <w:i w:val="0"/>
                <w:color w:val="1A1A2E"/>
                <w:sz w:val="17"/>
              </w:rPr>
              <w:t>Prioritize key hires, documentation and operating cadence</w:t>
            </w:r>
          </w:p>
        </w:tc>
      </w:tr>
      <w:tr>
        <w:trPr>
          <w:cantSplit w:val="true"/>
        </w:trPr>
        <w:tc>
          <w:tcPr>
            <w:tcW w:type="dxa" w:w="2232"/>
            <w:tcMar>
              <w:top w:w="95" w:type="dxa"/>
              <w:start w:w="100" w:type="dxa"/>
              <w:bottom w:w="95" w:type="dxa"/>
              <w:end w:w="100" w:type="dxa"/>
            </w:tcMar>
            <w:shd w:fill="F8F9FB"/>
          </w:tcPr>
          <w:p>
            <w:pPr>
              <w:spacing w:after="0"/>
            </w:pPr>
            <w:r>
              <w:rPr>
                <w:rFonts w:ascii="Calibri" w:hAnsi="Calibri"/>
                <w:b w:val="0"/>
                <w:i w:val="0"/>
                <w:color w:val="1A1A2E"/>
                <w:sz w:val="17"/>
              </w:rPr>
              <w:t>Regional expansion timing</w:t>
            </w:r>
          </w:p>
        </w:tc>
        <w:tc>
          <w:tcPr>
            <w:tcW w:type="dxa" w:w="3456"/>
            <w:tcMar>
              <w:top w:w="95" w:type="dxa"/>
              <w:start w:w="100" w:type="dxa"/>
              <w:bottom w:w="95" w:type="dxa"/>
              <w:end w:w="100" w:type="dxa"/>
            </w:tcMar>
            <w:shd w:fill="F8F9FB"/>
          </w:tcPr>
          <w:p>
            <w:pPr>
              <w:spacing w:after="0"/>
            </w:pPr>
            <w:r>
              <w:rPr>
                <w:rFonts w:ascii="Calibri" w:hAnsi="Calibri"/>
                <w:b w:val="0"/>
                <w:i w:val="0"/>
                <w:color w:val="1A1A2E"/>
                <w:sz w:val="17"/>
              </w:rPr>
              <w:t>Premature expansion can dilute Morocco execution</w:t>
            </w:r>
          </w:p>
        </w:tc>
        <w:tc>
          <w:tcPr>
            <w:tcW w:type="dxa" w:w="3672"/>
            <w:tcMar>
              <w:top w:w="95" w:type="dxa"/>
              <w:start w:w="100" w:type="dxa"/>
              <w:bottom w:w="95" w:type="dxa"/>
              <w:end w:w="100" w:type="dxa"/>
            </w:tcMar>
            <w:shd w:fill="F8F9FB"/>
          </w:tcPr>
          <w:p>
            <w:pPr>
              <w:spacing w:after="0"/>
            </w:pPr>
            <w:r>
              <w:rPr>
                <w:rFonts w:ascii="Calibri" w:hAnsi="Calibri"/>
                <w:b w:val="0"/>
                <w:i w:val="0"/>
                <w:color w:val="1A1A2E"/>
                <w:sz w:val="17"/>
              </w:rPr>
              <w:t>Use explicit Morocco retention/CAC gates before new geographies</w:t>
            </w:r>
          </w:p>
        </w:tc>
      </w:tr>
    </w:tbl>
    <w:p>
      <w:pPr>
        <w:spacing w:after="20"/>
      </w:pPr>
    </w:p>
    <w:p>
      <w:pPr>
        <w:pStyle w:val="Heading1"/>
        <w:keepNext/>
      </w:pPr>
      <w:r>
        <w:t>14. Investor data still required</w:t>
      </w:r>
    </w:p>
    <w:p>
      <w:pPr>
        <w:pStyle w:val="ListBullet"/>
        <w:spacing w:after="100" w:line="264" w:lineRule="auto"/>
        <w:ind w:left="720" w:hanging="360"/>
      </w:pPr>
      <w:r>
        <w:rPr>
          <w:rFonts w:ascii="Calibri" w:hAnsi="Calibri"/>
          <w:b w:val="0"/>
          <w:i w:val="0"/>
          <w:color w:val="1A1A2E"/>
          <w:sz w:val="21"/>
        </w:rPr>
        <w:t>Legal entity name, jurisdiction, incorporation date, registered address and company identifiers.</w:t>
      </w:r>
    </w:p>
    <w:p>
      <w:pPr>
        <w:pStyle w:val="ListBullet"/>
        <w:spacing w:after="100" w:line="264" w:lineRule="auto"/>
        <w:ind w:left="720" w:hanging="360"/>
      </w:pPr>
      <w:r>
        <w:rPr>
          <w:rFonts w:ascii="Calibri" w:hAnsi="Calibri"/>
          <w:b w:val="0"/>
          <w:i w:val="0"/>
          <w:color w:val="1A1A2E"/>
          <w:sz w:val="21"/>
        </w:rPr>
        <w:t>Fully diluted cap table, option pool, prior financing, SAFEs/notes and material obligations.</w:t>
      </w:r>
    </w:p>
    <w:p>
      <w:pPr>
        <w:pStyle w:val="ListBullet"/>
        <w:spacing w:after="100" w:line="264" w:lineRule="auto"/>
        <w:ind w:left="720" w:hanging="360"/>
      </w:pPr>
      <w:r>
        <w:rPr>
          <w:rFonts w:ascii="Calibri" w:hAnsi="Calibri"/>
          <w:b w:val="0"/>
          <w:i w:val="0"/>
          <w:color w:val="1A1A2E"/>
          <w:sz w:val="21"/>
        </w:rPr>
        <w:t>Exact raise terms, target close, committed amounts and investor allocation strategy.</w:t>
      </w:r>
    </w:p>
    <w:p>
      <w:pPr>
        <w:pStyle w:val="ListBullet"/>
        <w:spacing w:after="100" w:line="264" w:lineRule="auto"/>
        <w:ind w:left="720" w:hanging="360"/>
      </w:pPr>
      <w:r>
        <w:rPr>
          <w:rFonts w:ascii="Calibri" w:hAnsi="Calibri"/>
          <w:b w:val="0"/>
          <w:i w:val="0"/>
          <w:color w:val="1A1A2E"/>
          <w:sz w:val="21"/>
        </w:rPr>
        <w:t>Monthly active companies, active accounting firms, connected client spaces and engagement cohorts.</w:t>
      </w:r>
    </w:p>
    <w:p>
      <w:pPr>
        <w:pStyle w:val="ListBullet"/>
        <w:spacing w:after="100" w:line="264" w:lineRule="auto"/>
        <w:ind w:left="720" w:hanging="360"/>
      </w:pPr>
      <w:r>
        <w:rPr>
          <w:rFonts w:ascii="Calibri" w:hAnsi="Calibri"/>
          <w:b w:val="0"/>
          <w:i w:val="0"/>
          <w:color w:val="1A1A2E"/>
          <w:sz w:val="21"/>
        </w:rPr>
        <w:t>Paid customers, MRR/ARR, gross revenue retention, net revenue retention, churn and expansion.</w:t>
      </w:r>
    </w:p>
    <w:p>
      <w:pPr>
        <w:pStyle w:val="ListBullet"/>
        <w:spacing w:after="100" w:line="264" w:lineRule="auto"/>
        <w:ind w:left="720" w:hanging="360"/>
      </w:pPr>
      <w:r>
        <w:rPr>
          <w:rFonts w:ascii="Calibri" w:hAnsi="Calibri"/>
          <w:b w:val="0"/>
          <w:i w:val="0"/>
          <w:color w:val="1A1A2E"/>
          <w:sz w:val="21"/>
        </w:rPr>
        <w:t>Acquisition funnel: visitors, signups, first invoice, connected inbox, first close and paid conversion.</w:t>
      </w:r>
    </w:p>
    <w:p>
      <w:pPr>
        <w:pStyle w:val="ListBullet"/>
        <w:spacing w:after="100" w:line="264" w:lineRule="auto"/>
        <w:ind w:left="720" w:hanging="360"/>
      </w:pPr>
      <w:r>
        <w:rPr>
          <w:rFonts w:ascii="Calibri" w:hAnsi="Calibri"/>
          <w:b w:val="0"/>
          <w:i w:val="0"/>
          <w:color w:val="1A1A2E"/>
          <w:sz w:val="21"/>
        </w:rPr>
        <w:t>Cash balance, monthly burn, current runway, 18-month hiring plan and vendor commitments.</w:t>
      </w:r>
    </w:p>
    <w:p>
      <w:pPr>
        <w:pStyle w:val="ListBullet"/>
        <w:spacing w:after="100" w:line="264" w:lineRule="auto"/>
        <w:ind w:left="720" w:hanging="360"/>
      </w:pPr>
      <w:r>
        <w:rPr>
          <w:rFonts w:ascii="Calibri" w:hAnsi="Calibri"/>
          <w:b w:val="0"/>
          <w:i w:val="0"/>
          <w:color w:val="1A1A2E"/>
          <w:sz w:val="21"/>
        </w:rPr>
        <w:t>Founder biography, relevant domain track record, equity ownership and planned key hires.</w:t>
      </w:r>
    </w:p>
    <w:p>
      <w:pPr>
        <w:pStyle w:val="ListBullet"/>
        <w:spacing w:after="100" w:line="264" w:lineRule="auto"/>
        <w:ind w:left="720" w:hanging="360"/>
      </w:pPr>
      <w:r>
        <w:rPr>
          <w:rFonts w:ascii="Calibri" w:hAnsi="Calibri"/>
          <w:b w:val="0"/>
          <w:i w:val="0"/>
          <w:color w:val="1A1A2E"/>
          <w:sz w:val="21"/>
        </w:rPr>
        <w:t>Customer references, pilots/design partners, pipeline and any signed commercial commitments.</w:t>
      </w:r>
    </w:p>
    <w:p>
      <w:pPr>
        <w:pStyle w:val="ListBullet"/>
        <w:spacing w:after="100" w:line="264" w:lineRule="auto"/>
        <w:ind w:left="720" w:hanging="360"/>
      </w:pPr>
      <w:r>
        <w:rPr>
          <w:rFonts w:ascii="Calibri" w:hAnsi="Calibri"/>
          <w:b w:val="0"/>
          <w:i w:val="0"/>
          <w:color w:val="1A1A2E"/>
          <w:sz w:val="21"/>
        </w:rPr>
        <w:t>IP assignment, data-processing inventory, legal policies, insurance and security/compliance evidence.</w:t>
      </w:r>
    </w:p>
    <w:p>
      <w:pPr>
        <w:pStyle w:val="Heading1"/>
        <w:keepNext/>
      </w:pPr>
      <w:r>
        <w:t>15. Suggested investor narrative</w:t>
      </w:r>
    </w:p>
    <w:p>
      <w:pPr>
        <w:keepNext w:val="0"/>
        <w:spacing w:before="0" w:after="120" w:line="264" w:lineRule="auto"/>
      </w:pPr>
      <w:r>
        <w:rPr>
          <w:rFonts w:ascii="Calibri" w:hAnsi="Calibri"/>
          <w:b w:val="0"/>
          <w:i w:val="0"/>
          <w:color w:val="1A1A2E"/>
          <w:sz w:val="22"/>
        </w:rPr>
        <w:t>Mohasib should be presented as a workflow company, not a feature bundle: free invoicing creates the record, paid financial operations deepen it, and accountant collaboration distributes it. The next financing milestone is to turn a broad, working product into measurable retention and repeatable portfolio distribution.</w:t>
      </w:r>
    </w:p>
    <w:p>
      <w:pPr>
        <w:pStyle w:val="Heading1"/>
        <w:keepNext/>
      </w:pPr>
      <w:r>
        <w:t>16. Source and status notes</w:t>
      </w:r>
    </w:p>
    <w:tbl>
      <w:tblPr>
        <w:tblW w:type="auto" w:w="0"/>
        <w:jc w:val="center"/>
        <w:tblLayout w:type="fixed"/>
        <w:tblLook w:firstColumn="1" w:firstRow="1" w:lastColumn="0" w:lastRow="0" w:noHBand="0" w:noVBand="1" w:val="04A0"/>
      </w:tblPr>
      <w:tblGrid>
        <w:gridCol w:w="3120"/>
        <w:gridCol w:w="3120"/>
        <w:gridCol w:w="3120"/>
      </w:tblGrid>
      <w:tr>
        <w:trPr>
          <w:tblHeader w:val="true"/>
          <w:cantSplit w:val="true"/>
        </w:trPr>
        <w:tc>
          <w:tcPr>
            <w:tcW w:type="dxa" w:w="3096"/>
            <w:tcMar>
              <w:top w:w="110" w:type="dxa"/>
              <w:start w:w="100" w:type="dxa"/>
              <w:bottom w:w="110" w:type="dxa"/>
              <w:end w:w="100" w:type="dxa"/>
            </w:tcMar>
            <w:shd w:fill="0D1526"/>
          </w:tcPr>
          <w:p>
            <w:pPr>
              <w:spacing w:after="0"/>
            </w:pPr>
            <w:r>
              <w:rPr>
                <w:rFonts w:ascii="Calibri" w:hAnsi="Calibri"/>
                <w:b/>
                <w:i w:val="0"/>
                <w:color w:val="FFFFFF"/>
                <w:sz w:val="18"/>
              </w:rPr>
              <w:t>Source</w:t>
            </w:r>
          </w:p>
        </w:tc>
        <w:tc>
          <w:tcPr>
            <w:tcW w:type="dxa" w:w="3960"/>
            <w:tcMar>
              <w:top w:w="110" w:type="dxa"/>
              <w:start w:w="100" w:type="dxa"/>
              <w:bottom w:w="110" w:type="dxa"/>
              <w:end w:w="100" w:type="dxa"/>
            </w:tcMar>
            <w:shd w:fill="0D1526"/>
          </w:tcPr>
          <w:p>
            <w:pPr>
              <w:spacing w:after="0"/>
            </w:pPr>
            <w:r>
              <w:rPr>
                <w:rFonts w:ascii="Calibri" w:hAnsi="Calibri"/>
                <w:b/>
                <w:i w:val="0"/>
                <w:color w:val="FFFFFF"/>
                <w:sz w:val="18"/>
              </w:rPr>
              <w:t>Used for</w:t>
            </w:r>
          </w:p>
        </w:tc>
        <w:tc>
          <w:tcPr>
            <w:tcW w:type="dxa" w:w="2304"/>
            <w:tcMar>
              <w:top w:w="110" w:type="dxa"/>
              <w:start w:w="100" w:type="dxa"/>
              <w:bottom w:w="110" w:type="dxa"/>
              <w:end w:w="100" w:type="dxa"/>
            </w:tcMar>
            <w:shd w:fill="0D1526"/>
          </w:tcPr>
          <w:p>
            <w:pPr>
              <w:spacing w:after="0"/>
            </w:pPr>
            <w:r>
              <w:rPr>
                <w:rFonts w:ascii="Calibri" w:hAnsi="Calibri"/>
                <w:b/>
                <w:i w:val="0"/>
                <w:color w:val="FFFFFF"/>
                <w:sz w:val="18"/>
              </w:rPr>
              <w:t>Limit</w:t>
            </w:r>
          </w:p>
        </w:tc>
      </w:tr>
      <w:tr>
        <w:trPr>
          <w:cantSplit w:val="true"/>
        </w:trPr>
        <w:tc>
          <w:tcPr>
            <w:tcW w:type="dxa" w:w="3096"/>
            <w:tcMar>
              <w:top w:w="95" w:type="dxa"/>
              <w:start w:w="100" w:type="dxa"/>
              <w:bottom w:w="95" w:type="dxa"/>
              <w:end w:w="100" w:type="dxa"/>
            </w:tcMar>
          </w:tcPr>
          <w:p>
            <w:pPr>
              <w:spacing w:after="0"/>
            </w:pPr>
            <w:r>
              <w:rPr>
                <w:rFonts w:ascii="Calibri" w:hAnsi="Calibri"/>
                <w:b w:val="0"/>
                <w:i w:val="0"/>
                <w:color w:val="1A1A2E"/>
                <w:sz w:val="17"/>
              </w:rPr>
              <w:t>Mohasib_Investor_Pitch_Deck.pptx</w:t>
            </w:r>
          </w:p>
        </w:tc>
        <w:tc>
          <w:tcPr>
            <w:tcW w:type="dxa" w:w="3960"/>
            <w:tcMar>
              <w:top w:w="95" w:type="dxa"/>
              <w:start w:w="100" w:type="dxa"/>
              <w:bottom w:w="95" w:type="dxa"/>
              <w:end w:w="100" w:type="dxa"/>
            </w:tcMar>
          </w:tcPr>
          <w:p>
            <w:pPr>
              <w:spacing w:after="0"/>
            </w:pPr>
            <w:r>
              <w:rPr>
                <w:rFonts w:ascii="Calibri" w:hAnsi="Calibri"/>
                <w:b w:val="0"/>
                <w:i w:val="0"/>
                <w:color w:val="1A1A2E"/>
                <w:sz w:val="17"/>
              </w:rPr>
              <w:t>Narrative, market framing, business model and 18-month plan</w:t>
            </w:r>
          </w:p>
        </w:tc>
        <w:tc>
          <w:tcPr>
            <w:tcW w:type="dxa" w:w="2304"/>
            <w:tcMar>
              <w:top w:w="95" w:type="dxa"/>
              <w:start w:w="100" w:type="dxa"/>
              <w:bottom w:w="95" w:type="dxa"/>
              <w:end w:w="100" w:type="dxa"/>
            </w:tcMar>
          </w:tcPr>
          <w:p>
            <w:pPr>
              <w:spacing w:after="0"/>
            </w:pPr>
            <w:r>
              <w:rPr>
                <w:rFonts w:ascii="Calibri" w:hAnsi="Calibri"/>
                <w:b w:val="0"/>
                <w:i w:val="0"/>
                <w:color w:val="1A1A2E"/>
                <w:sz w:val="17"/>
              </w:rPr>
              <w:t>Company-authored; not audited</w:t>
            </w:r>
          </w:p>
        </w:tc>
      </w:tr>
      <w:tr>
        <w:trPr>
          <w:cantSplit w:val="true"/>
        </w:trPr>
        <w:tc>
          <w:tcPr>
            <w:tcW w:type="dxa" w:w="3096"/>
            <w:tcMar>
              <w:top w:w="95" w:type="dxa"/>
              <w:start w:w="100" w:type="dxa"/>
              <w:bottom w:w="95" w:type="dxa"/>
              <w:end w:w="100" w:type="dxa"/>
            </w:tcMar>
            <w:shd w:fill="F8F9FB"/>
          </w:tcPr>
          <w:p>
            <w:pPr>
              <w:spacing w:after="0"/>
            </w:pPr>
            <w:r>
              <w:rPr>
                <w:rFonts w:ascii="Calibri" w:hAnsi="Calibri"/>
                <w:b w:val="0"/>
                <w:i w:val="0"/>
                <w:color w:val="1A1A2E"/>
                <w:sz w:val="17"/>
              </w:rPr>
              <w:t>Local application repository</w:t>
            </w:r>
          </w:p>
        </w:tc>
        <w:tc>
          <w:tcPr>
            <w:tcW w:type="dxa" w:w="3960"/>
            <w:tcMar>
              <w:top w:w="95" w:type="dxa"/>
              <w:start w:w="100" w:type="dxa"/>
              <w:bottom w:w="95" w:type="dxa"/>
              <w:end w:w="100" w:type="dxa"/>
            </w:tcMar>
            <w:shd w:fill="F8F9FB"/>
          </w:tcPr>
          <w:p>
            <w:pPr>
              <w:spacing w:after="0"/>
            </w:pPr>
            <w:r>
              <w:rPr>
                <w:rFonts w:ascii="Calibri" w:hAnsi="Calibri"/>
                <w:b w:val="0"/>
                <w:i w:val="0"/>
                <w:color w:val="1A1A2E"/>
                <w:sz w:val="17"/>
              </w:rPr>
              <w:t>Product capabilities, pricing mechanics and implementation evidence</w:t>
            </w:r>
          </w:p>
        </w:tc>
        <w:tc>
          <w:tcPr>
            <w:tcW w:type="dxa" w:w="2304"/>
            <w:tcMar>
              <w:top w:w="95" w:type="dxa"/>
              <w:start w:w="100" w:type="dxa"/>
              <w:bottom w:w="95" w:type="dxa"/>
              <w:end w:w="100" w:type="dxa"/>
            </w:tcMar>
            <w:shd w:fill="F8F9FB"/>
          </w:tcPr>
          <w:p>
            <w:pPr>
              <w:spacing w:after="0"/>
            </w:pPr>
            <w:r>
              <w:rPr>
                <w:rFonts w:ascii="Calibri" w:hAnsi="Calibri"/>
                <w:b w:val="0"/>
                <w:i w:val="0"/>
                <w:color w:val="1A1A2E"/>
                <w:sz w:val="17"/>
              </w:rPr>
              <w:t>Reflects workspace state, not live production usage</w:t>
            </w:r>
          </w:p>
        </w:tc>
      </w:tr>
      <w:tr>
        <w:trPr>
          <w:cantSplit w:val="true"/>
        </w:trPr>
        <w:tc>
          <w:tcPr>
            <w:tcW w:type="dxa" w:w="3096"/>
            <w:tcMar>
              <w:top w:w="95" w:type="dxa"/>
              <w:start w:w="100" w:type="dxa"/>
              <w:bottom w:w="95" w:type="dxa"/>
              <w:end w:w="100" w:type="dxa"/>
            </w:tcMar>
          </w:tcPr>
          <w:p>
            <w:pPr>
              <w:spacing w:after="0"/>
            </w:pPr>
            <w:r>
              <w:rPr>
                <w:rFonts w:ascii="Calibri" w:hAnsi="Calibri"/>
                <w:b w:val="0"/>
                <w:i w:val="0"/>
                <w:color w:val="1A1A2E"/>
                <w:sz w:val="17"/>
              </w:rPr>
              <w:t>Application audit dated 18 Aug 2026</w:t>
            </w:r>
          </w:p>
        </w:tc>
        <w:tc>
          <w:tcPr>
            <w:tcW w:type="dxa" w:w="3960"/>
            <w:tcMar>
              <w:top w:w="95" w:type="dxa"/>
              <w:start w:w="100" w:type="dxa"/>
              <w:bottom w:w="95" w:type="dxa"/>
              <w:end w:w="100" w:type="dxa"/>
            </w:tcMar>
          </w:tcPr>
          <w:p>
            <w:pPr>
              <w:spacing w:after="0"/>
            </w:pPr>
            <w:r>
              <w:rPr>
                <w:rFonts w:ascii="Calibri" w:hAnsi="Calibri"/>
                <w:b w:val="0"/>
                <w:i w:val="0"/>
                <w:color w:val="1A1A2E"/>
                <w:sz w:val="17"/>
              </w:rPr>
              <w:t>Release-readiness and verification summary</w:t>
            </w:r>
          </w:p>
        </w:tc>
        <w:tc>
          <w:tcPr>
            <w:tcW w:type="dxa" w:w="2304"/>
            <w:tcMar>
              <w:top w:w="95" w:type="dxa"/>
              <w:start w:w="100" w:type="dxa"/>
              <w:bottom w:w="95" w:type="dxa"/>
              <w:end w:w="100" w:type="dxa"/>
            </w:tcMar>
          </w:tcPr>
          <w:p>
            <w:pPr>
              <w:spacing w:after="0"/>
            </w:pPr>
            <w:r>
              <w:rPr>
                <w:rFonts w:ascii="Calibri" w:hAnsi="Calibri"/>
                <w:b w:val="0"/>
                <w:i w:val="0"/>
                <w:color w:val="1A1A2E"/>
                <w:sz w:val="17"/>
              </w:rPr>
              <w:t>Static/local audit; not formal assurance</w:t>
            </w:r>
          </w:p>
        </w:tc>
      </w:tr>
      <w:tr>
        <w:trPr>
          <w:cantSplit w:val="true"/>
        </w:trPr>
        <w:tc>
          <w:tcPr>
            <w:tcW w:type="dxa" w:w="3096"/>
            <w:tcMar>
              <w:top w:w="95" w:type="dxa"/>
              <w:start w:w="100" w:type="dxa"/>
              <w:bottom w:w="95" w:type="dxa"/>
              <w:end w:w="100" w:type="dxa"/>
            </w:tcMar>
            <w:shd w:fill="F8F9FB"/>
          </w:tcPr>
          <w:p>
            <w:pPr>
              <w:spacing w:after="0"/>
            </w:pPr>
            <w:r>
              <w:rPr>
                <w:rFonts w:ascii="Calibri" w:hAnsi="Calibri"/>
                <w:b w:val="0"/>
                <w:i w:val="0"/>
                <w:color w:val="1A1A2E"/>
                <w:sz w:val="17"/>
              </w:rPr>
              <w:t>OMTPME 2025 report / OMPIC releases cited in deck notes</w:t>
            </w:r>
          </w:p>
        </w:tc>
        <w:tc>
          <w:tcPr>
            <w:tcW w:type="dxa" w:w="3960"/>
            <w:tcMar>
              <w:top w:w="95" w:type="dxa"/>
              <w:start w:w="100" w:type="dxa"/>
              <w:bottom w:w="95" w:type="dxa"/>
              <w:end w:w="100" w:type="dxa"/>
            </w:tcMar>
            <w:shd w:fill="F8F9FB"/>
          </w:tcPr>
          <w:p>
            <w:pPr>
              <w:spacing w:after="0"/>
            </w:pPr>
            <w:r>
              <w:rPr>
                <w:rFonts w:ascii="Calibri" w:hAnsi="Calibri"/>
                <w:b w:val="0"/>
                <w:i w:val="0"/>
                <w:color w:val="1A1A2E"/>
                <w:sz w:val="17"/>
              </w:rPr>
              <w:t>Market-context figures</w:t>
            </w:r>
          </w:p>
        </w:tc>
        <w:tc>
          <w:tcPr>
            <w:tcW w:type="dxa" w:w="2304"/>
            <w:tcMar>
              <w:top w:w="95" w:type="dxa"/>
              <w:start w:w="100" w:type="dxa"/>
              <w:bottom w:w="95" w:type="dxa"/>
              <w:end w:w="100" w:type="dxa"/>
            </w:tcMar>
            <w:shd w:fill="F8F9FB"/>
          </w:tcPr>
          <w:p>
            <w:pPr>
              <w:spacing w:after="0"/>
            </w:pPr>
            <w:r>
              <w:rPr>
                <w:rFonts w:ascii="Calibri" w:hAnsi="Calibri"/>
                <w:b w:val="0"/>
                <w:i w:val="0"/>
                <w:color w:val="1A1A2E"/>
                <w:sz w:val="17"/>
              </w:rPr>
              <w:t>Reconfirm latest figures before external distribution</w:t>
            </w:r>
          </w:p>
        </w:tc>
      </w:tr>
    </w:tbl>
    <w:p>
      <w:pPr>
        <w:spacing w:after="20"/>
      </w:pPr>
    </w:p>
    <w:p>
      <w:pPr>
        <w:keepNext w:val="0"/>
        <w:spacing w:before="160" w:after="120" w:line="264" w:lineRule="auto"/>
      </w:pPr>
      <w:r>
        <w:rPr>
          <w:rFonts w:ascii="Calibri" w:hAnsi="Calibri"/>
          <w:b w:val="0"/>
          <w:i/>
          <w:color w:val="667085"/>
          <w:sz w:val="19"/>
        </w:rPr>
        <w:t>Prepared from materials available in the Mohasib workspace as of 28 August 2026. All yellow “Founder input required” fields must be completed before the package is sent to investors.</w:t>
      </w:r>
    </w:p>
    <w:sectPr w:rsidR="00FC693F" w:rsidRPr="0006063C" w:rsidSect="00034616">
      <w:headerReference w:type="default" r:id="rId9"/>
      <w:footerReference w:type="default" r:id="rId10"/>
      <w:pgSz w:w="12240" w:h="15840"/>
      <w:pgMar w:top="1152" w:right="1440" w:bottom="1080"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7085"/>
        <w:sz w:val="16"/>
      </w:rPr>
      <w:t>Confidential — discussion draft — 28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7085"/>
        <w:sz w:val="17"/>
      </w:rPr>
      <w:t>MOHASIB  |  PRE-SEED FUNDING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D152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C8924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D152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