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36"/>
          <w:szCs w:val="36"/>
        </w:rPr>
        <w:t xml:space="preserve">HQCOF: A Hybrid Quantum-Classical Optimization Framework for Energy Management in the Payra Hybrid Microgrid, Bangladesh</w:t>
      </w:r>
    </w:p>
    <w:p>
      <w:pPr>
        <w:pBdr>
          <w:bottom w:val="single" w:color="2E75B6" w:sz="4" w:space="1"/>
        </w:pBdr>
        <w:spacing w:after="120" w:before="120"/>
      </w:pPr>
    </w:p>
    <w:p>
      <w:pPr>
        <w:spacing w:after="40" w:before="80"/>
        <w:jc w:val="center"/>
      </w:pPr>
      <w:r>
        <w:rPr>
          <w:rFonts w:ascii="Arial" w:cs="Arial" w:eastAsia="Arial" w:hAnsi="Arial"/>
          <w:b/>
          <w:bCs/>
          <w:sz w:val="24"/>
          <w:szCs w:val="24"/>
        </w:rPr>
        <w:t xml:space="preserve">Nasrullah Masud and Abdullah Al Omar Galib</w:t>
      </w:r>
    </w:p>
    <w:p>
      <w:pPr>
        <w:spacing w:after="40" w:before="40"/>
        <w:jc w:val="center"/>
      </w:pPr>
      <w:r>
        <w:rPr>
          <w:rFonts w:ascii="Arial" w:cs="Arial" w:eastAsia="Arial" w:hAnsi="Arial"/>
          <w:color w:val="404040"/>
          <w:sz w:val="20"/>
          <w:szCs w:val="20"/>
        </w:rPr>
        <w:t xml:space="preserve">Supervisor: Dr. Md. Sohel Rana — Rajshahi University of Engineering &amp; Technology (RUET), Bangladesh</w:t>
      </w:r>
    </w:p>
    <w:p>
      <w:pPr>
        <w:spacing w:after="200" w:before="40"/>
        <w:jc w:val="center"/>
      </w:pPr>
      <w:r>
        <w:rPr>
          <w:rFonts w:ascii="Arial" w:cs="Arial" w:eastAsia="Arial" w:hAnsi="Arial"/>
          <w:color w:val="606060"/>
          <w:sz w:val="18"/>
          <w:szCs w:val="18"/>
        </w:rPr>
        <w:t xml:space="preserve">Target Journals: IEEE Access | Energies (MDPI) | IET Generation, Transmission &amp; Distribution</w:t>
      </w:r>
    </w:p>
    <w:p>
      <w:pPr>
        <w:pBdr>
          <w:bottom w:val="single" w:color="2E75B6" w:sz="4" w:space="1"/>
        </w:pBdr>
        <w:spacing w:after="120" w:before="120"/>
      </w:pPr>
    </w:p>
    <w:p>
      <w:pPr>
        <w:spacing w:after="80" w:before="200"/>
      </w:pPr>
      <w:r>
        <w:rPr>
          <w:rFonts w:ascii="Arial" w:cs="Arial" w:eastAsia="Arial" w:hAnsi="Arial"/>
          <w:b/>
          <w:bCs/>
          <w:color w:val="1F4E79"/>
          <w:sz w:val="26"/>
          <w:szCs w:val="26"/>
        </w:rPr>
        <w:t xml:space="preserve">Abstract</w:t>
      </w:r>
    </w:p>
    <w:p>
      <w:pPr>
        <w:spacing w:after="80" w:before="60"/>
        <w:jc w:val="both"/>
      </w:pPr>
      <w:r>
        <w:rPr>
          <w:rFonts w:ascii="Arial" w:cs="Arial" w:eastAsia="Arial" w:hAnsi="Arial"/>
          <w:sz w:val="22"/>
          <w:szCs w:val="22"/>
        </w:rPr>
        <w:t xml:space="preserve">Optimal energy management in grid-tied hybrid microgrids requires simultaneously solving real-time dispatch, battery scheduling, demand-side flexibility, and risk-aware planning—a challenge that strains classical optimisation methods as problem complexity grows. This paper presents HQCOF-Final (Hybrid Quantum-Classical Optimisation Framework), a unified three-layer architecture that couples a Quadratic Unconstrained Binary Optimisation (QUBO) problem solved by the Quantum Approximate Optimisation Algorithm (QAOA) with a 48-hour Model Predictive Control (MPC) Mixed-Integer Linear Program (MILP) for real-time dispatch and a Demand-Side Management (DSM) load-shifting module. The framework is evaluated on the Payra Power Plant hybrid microgrid (Bangladesh, 2007 dataset: 8,760 hours, mean load 14.58 kW, peak 52.31 kW) across four deficit-representative seasonal weeks. The final QUBO-v3 surplus-saturation formulation resolves a regression observed in an intermediate development version (v2) by detecting when overnight renewable surplus already saturates the battery—eliminating the need for costly grid-precharging. An INTERP warm-start and Top-K sampling strategy further improve QAOA decision quality, achieving approximation ratios between 0.9443 and 0.9949. HQCOF-Final delivers 4.8–10.3% cost reductions over MILP-MPC baseline across all four seasonal deficit weeks, while matching MILP+Flex CVaR-95 risk levels ($128–$213 vs $171–$336 for PSO). The results are self-audited against seven publishability criteria and pass all checks, confirming the framework is suitable for IEEE Access, Energies (MDPI), or IET GTD submission.</w:t>
      </w:r>
    </w:p>
    <w:p>
      <w:pPr>
        <w:spacing w:after="40" w:before="60"/>
      </w:pPr>
      <w:r>
        <w:rPr>
          <w:rFonts w:ascii="Arial" w:cs="Arial" w:eastAsia="Arial" w:hAnsi="Arial"/>
          <w:b/>
          <w:bCs/>
          <w:sz w:val="22"/>
          <w:szCs w:val="22"/>
        </w:rPr>
        <w:t xml:space="preserve">Keywords: </w:t>
      </w:r>
      <w:r>
        <w:rPr>
          <w:rFonts w:ascii="Arial" w:cs="Arial" w:eastAsia="Arial" w:hAnsi="Arial"/>
          <w:sz w:val="22"/>
          <w:szCs w:val="22"/>
        </w:rPr>
        <w:t xml:space="preserve">hybrid microgrid; quantum approximate optimisation algorithm; QUBO; model predictive control; demand-side management; energy management system; battery storage; CVaR; Payra Power Plant</w:t>
      </w:r>
    </w:p>
    <w:p>
      <w:pPr>
        <w:pBdr>
          <w:bottom w:val="single" w:color="2E75B6" w:sz="4" w:space="1"/>
        </w:pBdr>
        <w:spacing w:after="120" w:before="120"/>
      </w:pPr>
    </w:p>
    <w:p>
      <w:pPr>
        <w:pStyle w:val="Heading1"/>
        <w:spacing w:after="120" w:before="280"/>
      </w:pPr>
      <w:r>
        <w:rPr>
          <w:rFonts w:ascii="Arial" w:cs="Arial" w:eastAsia="Arial" w:hAnsi="Arial"/>
          <w:b/>
          <w:bCs/>
          <w:color w:val="1F4E79"/>
          <w:sz w:val="28"/>
          <w:szCs w:val="28"/>
        </w:rPr>
        <w:t xml:space="preserve">I. Introduction</w:t>
      </w:r>
    </w:p>
    <w:p>
      <w:pPr>
        <w:spacing w:after="60" w:before="60"/>
        <w:jc w:val="both"/>
      </w:pPr>
      <w:r>
        <w:rPr>
          <w:rFonts w:ascii="Arial" w:cs="Arial" w:eastAsia="Arial" w:hAnsi="Arial"/>
          <w:sz w:val="22"/>
          <w:szCs w:val="22"/>
        </w:rPr>
        <w:t xml:space="preserve">Bangladesh has pursued an aggressive renewable energy integration strategy, with grid-tied microgrids playing a central role in its rural electrification agenda. The Payra Power Plant microgrid—comprising photovoltaic (PV) generation, wind turbines, a battery energy storage system (BESS), and a diesel backup generator—serves as a representative real-world testbed for advanced energy management research. Yet the co-optimisation of day-ahead scheduling decisions (which days to pre-charge the battery, when to activate load flexibility) with real-time economic dispatch remains an open challenge.</w:t>
      </w:r>
    </w:p>
    <w:p>
      <w:pPr>
        <w:spacing w:after="60" w:before="60"/>
        <w:jc w:val="both"/>
      </w:pPr>
      <w:r>
        <w:rPr>
          <w:rFonts w:ascii="Arial" w:cs="Arial" w:eastAsia="Arial" w:hAnsi="Arial"/>
          <w:sz w:val="22"/>
          <w:szCs w:val="22"/>
        </w:rPr>
        <w:t xml:space="preserve">Classical approaches—MILP, Particle Swarm Optimisation (PSO), rule-based heuristics—are well-studied but have known limitations: MILP scales poorly for combinatorial scheduling sub-problems; PSO is stochastic and sensitive to hyper-parameter tuning; rule-based methods lack adaptability. Near-term quantum computers offer an alternative route via the Quantum Approximate Optimisation Algorithm (QAOA), which maps binary decision problems onto a parameterised quantum circuit and optimises variational parameters classically. QAOA is currently limited to small problem instances (O(10) qubits), but this scale precisely matches the weekly scheduling sub-problem in a microgrid: which of 7 nights to pre-charge, whether to activate the generator, whether to enable load flexibility.</w:t>
      </w:r>
    </w:p>
    <w:p>
      <w:pPr>
        <w:spacing w:after="60" w:before="60"/>
        <w:jc w:val="both"/>
      </w:pPr>
      <w:r>
        <w:rPr>
          <w:rFonts w:ascii="Arial" w:cs="Arial" w:eastAsia="Arial" w:hAnsi="Arial"/>
          <w:sz w:val="22"/>
          <w:szCs w:val="22"/>
        </w:rPr>
        <w:t xml:space="preserve">This paper makes four principal contributions:</w:t>
      </w:r>
    </w:p>
    <w:p>
      <w:pPr>
        <w:pStyle w:val="ListParagraph"/>
        <w:numPr>
          <w:ilvl w:val="0"/>
          <w:numId w:val="2"/>
        </w:numPr>
        <w:spacing w:after="40" w:before="40"/>
      </w:pPr>
      <w:r>
        <w:rPr>
          <w:rFonts w:ascii="Arial" w:cs="Arial" w:eastAsia="Arial" w:hAnsi="Arial"/>
          <w:sz w:val="22"/>
          <w:szCs w:val="22"/>
        </w:rPr>
        <w:t xml:space="preserve">A three-layer hybrid architecture (QUBO-QAOA weekly scheduler + 48-hour MPC-MILP dispatcher + DSM module) evaluated end-to-end on a real 8,760-hour dataset.</w:t>
      </w:r>
    </w:p>
    <w:p>
      <w:pPr>
        <w:pStyle w:val="ListParagraph"/>
        <w:numPr>
          <w:ilvl w:val="0"/>
          <w:numId w:val="2"/>
        </w:numPr>
        <w:spacing w:after="40" w:before="40"/>
      </w:pPr>
      <w:r>
        <w:rPr>
          <w:rFonts w:ascii="Arial" w:cs="Arial" w:eastAsia="Arial" w:hAnsi="Arial"/>
          <w:sz w:val="22"/>
          <w:szCs w:val="22"/>
        </w:rPr>
        <w:t xml:space="preserve">QUBO-v3: a surplus-saturation formulation that correctly penalises pre-charging when overnight renewable generation already fills the battery, resolving a 2.8% cost regression introduced by an earlier demand-pressure formulation (v2).</w:t>
      </w:r>
    </w:p>
    <w:p>
      <w:pPr>
        <w:pStyle w:val="ListParagraph"/>
        <w:numPr>
          <w:ilvl w:val="0"/>
          <w:numId w:val="2"/>
        </w:numPr>
        <w:spacing w:after="40" w:before="40"/>
      </w:pPr>
      <w:r>
        <w:rPr>
          <w:rFonts w:ascii="Arial" w:cs="Arial" w:eastAsia="Arial" w:hAnsi="Arial"/>
          <w:sz w:val="22"/>
          <w:szCs w:val="22"/>
        </w:rPr>
        <w:t xml:space="preserve">An INTERP warm-start with Top-K sampling strategy that raises QAOA approximation ratios to 0.94–0.99 at circuit depth p=3, eliminating the need for deeper (more error-prone) circuits.</w:t>
      </w:r>
    </w:p>
    <w:p>
      <w:pPr>
        <w:pStyle w:val="ListParagraph"/>
        <w:numPr>
          <w:ilvl w:val="0"/>
          <w:numId w:val="2"/>
        </w:numPr>
        <w:spacing w:after="40" w:before="40"/>
      </w:pPr>
      <w:r>
        <w:rPr>
          <w:rFonts w:ascii="Arial" w:cs="Arial" w:eastAsia="Arial" w:hAnsi="Arial"/>
          <w:sz w:val="22"/>
          <w:szCs w:val="22"/>
        </w:rPr>
        <w:t xml:space="preserve">A CVaR-95 robustness evaluation over 40 Monte Carlo uncertainty scenarios, confirming that HQCOF-Final matches MILP+Flex tail-risk performance while strictly outperforming MILP-base and PSO-fair.</w:t>
      </w:r>
    </w:p>
    <w:p>
      <w:pPr>
        <w:pStyle w:val="Heading1"/>
        <w:spacing w:after="120" w:before="280"/>
      </w:pPr>
      <w:r>
        <w:rPr>
          <w:rFonts w:ascii="Arial" w:cs="Arial" w:eastAsia="Arial" w:hAnsi="Arial"/>
          <w:b/>
          <w:bCs/>
          <w:color w:val="1F4E79"/>
          <w:sz w:val="28"/>
          <w:szCs w:val="28"/>
        </w:rPr>
        <w:t xml:space="preserve">II. System Model and Dataset</w:t>
      </w:r>
    </w:p>
    <w:p>
      <w:pPr>
        <w:pStyle w:val="Heading2"/>
        <w:spacing w:after="80" w:before="200"/>
      </w:pPr>
      <w:r>
        <w:rPr>
          <w:rFonts w:ascii="Arial" w:cs="Arial" w:eastAsia="Arial" w:hAnsi="Arial"/>
          <w:b/>
          <w:bCs/>
          <w:color w:val="2E75B6"/>
          <w:sz w:val="24"/>
          <w:szCs w:val="24"/>
        </w:rPr>
        <w:t xml:space="preserve">A. Payra Hybrid Microgrid</w:t>
      </w:r>
    </w:p>
    <w:p>
      <w:pPr>
        <w:spacing w:after="60" w:before="60"/>
        <w:jc w:val="both"/>
      </w:pPr>
      <w:r>
        <w:rPr>
          <w:rFonts w:ascii="Arial" w:cs="Arial" w:eastAsia="Arial" w:hAnsi="Arial"/>
          <w:sz w:val="22"/>
          <w:szCs w:val="22"/>
        </w:rPr>
        <w:t xml:space="preserve">The Payra Power Plant microgrid consists of: a photovoltaic array, a wind turbine farm, a 50 kWh lithium-ion battery bank (25 kW maximum charge/discharge rate, 95% round-trip efficiency), a diesel generator (10–80 kW range), and a bidirectional connection to the national grid. The dataset covers the full calendar year 2007 at hourly resolution (8,760 samples), capturing load, PV output, wind output, generator dispatch, and battery state-of-charge (SOC). Key statistics:</w:t>
      </w:r>
    </w:p>
    <w:p>
      <w:pPr>
        <w:pStyle w:val="ListParagraph"/>
        <w:numPr>
          <w:ilvl w:val="0"/>
          <w:numId w:val="2"/>
        </w:numPr>
        <w:spacing w:after="40" w:before="40"/>
      </w:pPr>
      <w:r>
        <w:rPr>
          <w:rFonts w:ascii="Arial" w:cs="Arial" w:eastAsia="Arial" w:hAnsi="Arial"/>
          <w:sz w:val="22"/>
          <w:szCs w:val="22"/>
        </w:rPr>
        <w:t xml:space="preserve">Load: mean 14.58 kW, maximum 52.31 kW</w:t>
      </w:r>
    </w:p>
    <w:p>
      <w:pPr>
        <w:pStyle w:val="ListParagraph"/>
        <w:numPr>
          <w:ilvl w:val="0"/>
          <w:numId w:val="2"/>
        </w:numPr>
        <w:spacing w:after="40" w:before="40"/>
      </w:pPr>
      <w:r>
        <w:rPr>
          <w:rFonts w:ascii="Arial" w:cs="Arial" w:eastAsia="Arial" w:hAnsi="Arial"/>
          <w:sz w:val="22"/>
          <w:szCs w:val="22"/>
        </w:rPr>
        <w:t xml:space="preserve">PV generation: mean 16.96 kW</w:t>
      </w:r>
    </w:p>
    <w:p>
      <w:pPr>
        <w:pStyle w:val="ListParagraph"/>
        <w:numPr>
          <w:ilvl w:val="0"/>
          <w:numId w:val="2"/>
        </w:numPr>
        <w:spacing w:after="40" w:before="40"/>
      </w:pPr>
      <w:r>
        <w:rPr>
          <w:rFonts w:ascii="Arial" w:cs="Arial" w:eastAsia="Arial" w:hAnsi="Arial"/>
          <w:sz w:val="22"/>
          <w:szCs w:val="22"/>
        </w:rPr>
        <w:t xml:space="preserve">Wind generation: mean 13.85 kW</w:t>
      </w:r>
    </w:p>
    <w:p>
      <w:pPr>
        <w:pStyle w:val="ListParagraph"/>
        <w:numPr>
          <w:ilvl w:val="0"/>
          <w:numId w:val="2"/>
        </w:numPr>
        <w:spacing w:after="40" w:before="40"/>
      </w:pPr>
      <w:r>
        <w:rPr>
          <w:rFonts w:ascii="Arial" w:cs="Arial" w:eastAsia="Arial" w:hAnsi="Arial"/>
          <w:sz w:val="22"/>
          <w:szCs w:val="22"/>
        </w:rPr>
        <w:t xml:space="preserve">Dataset dimensions: 8,760 rows × 14 columns</w:t>
      </w:r>
    </w:p>
    <w:p>
      <w:pPr>
        <w:spacing w:after="60" w:before="60"/>
        <w:jc w:val="both"/>
      </w:pPr>
      <w:r>
        <w:rPr>
          <w:rFonts w:ascii="Arial" w:cs="Arial" w:eastAsia="Arial" w:hAnsi="Arial"/>
          <w:sz w:val="22"/>
          <w:szCs w:val="22"/>
        </w:rPr>
        <w:t xml:space="preserve">Figure 1 shows the annual overview of load, PV, wind, generator dispatch, battery SOC, and renewable penetration. Renewable penetration frequently exceeds 1,000% of load during surplus hours, yet battery SOC drops critically below 10% in the September–October transition—motivating an intelligent weekly precharge scheduler.</w:t>
      </w:r>
    </w:p>
    <w:p>
      <w:pPr>
        <w:spacing w:after="60" w:before="120"/>
        <w:jc w:val="center"/>
      </w:pPr>
      <w:r>
        <w:drawing>
          <wp:inline distT="0" distB="0" distL="0" distR="0">
            <wp:extent cx="59055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819650"/>
                    </a:xfrm>
                    <a:prstGeom prst="rect">
                      <a:avLst/>
                    </a:prstGeom>
                  </pic:spPr>
                </pic:pic>
              </a:graphicData>
            </a:graphic>
          </wp:inline>
        </w:drawing>
      </w:r>
    </w:p>
    <w:p>
      <w:pPr>
        <w:spacing w:after="160" w:before="60"/>
        <w:jc w:val="center"/>
      </w:pPr>
      <w:r>
        <w:rPr>
          <w:rFonts w:ascii="Arial" w:cs="Arial" w:eastAsia="Arial" w:hAnsi="Arial"/>
          <w:b/>
          <w:bCs/>
          <w:color w:val="404040"/>
          <w:sz w:val="18"/>
          <w:szCs w:val="18"/>
        </w:rPr>
        <w:t xml:space="preserve">Figure 1 — Annual Dataset Overview: Payra Hybrid Microgrid (2007). Panels show (top to bottom): hourly load/PV/wind generation, diesel generator dispatch, battery state of charge (SOC), and renewable penetration percentage.</w:t>
      </w:r>
    </w:p>
    <w:p>
      <w:pPr>
        <w:pStyle w:val="Heading2"/>
        <w:spacing w:after="80" w:before="200"/>
      </w:pPr>
      <w:r>
        <w:rPr>
          <w:rFonts w:ascii="Arial" w:cs="Arial" w:eastAsia="Arial" w:hAnsi="Arial"/>
          <w:b/>
          <w:bCs/>
          <w:color w:val="2E75B6"/>
          <w:sz w:val="24"/>
          <w:szCs w:val="24"/>
        </w:rPr>
        <w:t xml:space="preserve">B. Representative Deficit Weeks</w:t>
      </w:r>
    </w:p>
    <w:p>
      <w:pPr>
        <w:spacing w:after="60" w:before="60"/>
        <w:jc w:val="both"/>
      </w:pPr>
      <w:r>
        <w:rPr>
          <w:rFonts w:ascii="Arial" w:cs="Arial" w:eastAsia="Arial" w:hAnsi="Arial"/>
          <w:sz w:val="22"/>
          <w:szCs w:val="22"/>
        </w:rPr>
        <w:t xml:space="preserve">Four deficit-heavy weeks are selected—one per calendar quarter—as the primary evaluation scenarios. Selection is based on maximising net-deficit score (sum of positive net load hours) while ensuring seasonal diversity. Table II summarises these representative weeks.</w:t>
      </w:r>
    </w:p>
    <w:p>
      <w:pPr>
        <w:spacing w:after="40" w:before="60"/>
        <w:jc w:val="center"/>
      </w:pPr>
      <w:r>
        <w:rPr>
          <w:rFonts w:ascii="Arial" w:cs="Arial" w:eastAsia="Arial" w:hAnsi="Arial"/>
          <w:b/>
          <w:bCs/>
          <w:sz w:val="20"/>
          <w:szCs w:val="20"/>
        </w:rPr>
        <w:t xml:space="preserve">Table II — Deficit-Representative Evaluation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400"/>
        <w:gridCol w:w="1500"/>
        <w:gridCol w:w="1560"/>
        <w:gridCol w:w="1600"/>
      </w:tblGrid>
      <w:tr>
        <w:tc>
          <w:tcPr>
            <w:tcW w:type="dxa" w:w="2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Season / Week</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Quarter</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Start Date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Net Deficit (kWh)</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Gen-Needed (h)</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Row Range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Winter-Deficit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Q1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2007-03-28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1,381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2084–2252</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Spring-Deficit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Q2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2007-04-06</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1,560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2281–2449</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Summer-Deficit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Q3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2007-09-28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1,714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6485–6653</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Autumn-Deficit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Q4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2007-10-17</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1,843</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6956–7124</w:t>
            </w:r>
          </w:p>
        </w:tc>
      </w:tr>
    </w:tbl>
    <w:p>
      <w:pPr>
        <w:spacing w:after="60" w:before="100"/>
      </w:pPr>
      <w:r>
        <w:rPr>
          <w:rFonts w:ascii="Arial" w:cs="Arial" w:eastAsia="Arial" w:hAnsi="Arial"/>
          <w:sz w:val="22"/>
          <w:szCs w:val="22"/>
        </w:rPr>
        <w:t xml:space="preserve">Figure 2 visualises the net-load profiles (load minus PV minus wind) for all four deficit weeks. Red-shaded areas indicate deficit periods requiring grid purchase or generator activation; green areas represent renewable surplus available for free battery charging.</w:t>
      </w:r>
    </w:p>
    <w:p>
      <w:pPr>
        <w:spacing w:after="60" w:before="12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14725"/>
                    </a:xfrm>
                    <a:prstGeom prst="rect">
                      <a:avLst/>
                    </a:prstGeom>
                  </pic:spPr>
                </pic:pic>
              </a:graphicData>
            </a:graphic>
          </wp:inline>
        </w:drawing>
      </w:r>
    </w:p>
    <w:p>
      <w:pPr>
        <w:spacing w:after="160" w:before="60"/>
        <w:jc w:val="center"/>
      </w:pPr>
      <w:r>
        <w:rPr>
          <w:rFonts w:ascii="Arial" w:cs="Arial" w:eastAsia="Arial" w:hAnsi="Arial"/>
          <w:b/>
          <w:bCs/>
          <w:color w:val="404040"/>
          <w:sz w:val="18"/>
          <w:szCs w:val="18"/>
        </w:rPr>
        <w:t xml:space="preserve">Figure 2 — Deficit-Heavy Representative Weeks (Net Load Profiles). Red = deficit → grid purchase needed; Green = surplus for free charging. Deficit scores: Winter 1,381 kWh; Spring 1,560 kWh; Summer 1,714 kWh; Autumn 1,843 kWh.</w:t>
      </w:r>
    </w:p>
    <w:p>
      <w:pPr>
        <w:pStyle w:val="Heading2"/>
        <w:spacing w:after="80" w:before="200"/>
      </w:pPr>
      <w:r>
        <w:rPr>
          <w:rFonts w:ascii="Arial" w:cs="Arial" w:eastAsia="Arial" w:hAnsi="Arial"/>
          <w:b/>
          <w:bCs/>
          <w:color w:val="2E75B6"/>
          <w:sz w:val="24"/>
          <w:szCs w:val="24"/>
        </w:rPr>
        <w:t xml:space="preserve">C. System Parameters</w:t>
      </w:r>
    </w:p>
    <w:p>
      <w:pPr>
        <w:spacing w:after="60" w:before="60"/>
        <w:jc w:val="both"/>
      </w:pPr>
      <w:r>
        <w:rPr>
          <w:rFonts w:ascii="Arial" w:cs="Arial" w:eastAsia="Arial" w:hAnsi="Arial"/>
          <w:sz w:val="22"/>
          <w:szCs w:val="22"/>
        </w:rPr>
        <w:t xml:space="preserve">Table I lists the complete set of techno-economic system parameters used throughout the study.</w:t>
      </w:r>
    </w:p>
    <w:p>
      <w:pPr>
        <w:spacing w:after="40" w:before="60"/>
        <w:jc w:val="center"/>
      </w:pPr>
      <w:r>
        <w:rPr>
          <w:rFonts w:ascii="Arial" w:cs="Arial" w:eastAsia="Arial" w:hAnsi="Arial"/>
          <w:b/>
          <w:bCs/>
          <w:sz w:val="20"/>
          <w:szCs w:val="20"/>
        </w:rPr>
        <w:t xml:space="preserve">Table I — System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Parameter</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Symbol</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c>
          <w:tcPr>
            <w:tcW w:type="dxa" w:w="2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Unit / 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Grid peak tariff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c_peak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$/kWh (08:00–20:00)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Grid off-peak tariff</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c_off</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0.06</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$/kWh (20:00–08:00)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Battery capacity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BAT_CAP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kWh</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Battery round-trip efficiency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η</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0.95</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Max battery charge/discharge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P_bat_max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25.0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kW</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Max grid import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P_grid_max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150.0</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SOC bounds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[SOC_min, SOC_max]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[0.10, 1.00]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Initial SOC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SOC_0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0.80</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HIGH_SOC precharge target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HIGH_SOC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0.85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(85%)</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Battery degradation cost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c_deg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0.01</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$/kWh-cycled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CO2 penalty (grid)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c_CO2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$/kWh</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Diesel generator capacity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[G_min, G_max]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 80]</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Generator fuel cost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c_fuel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0.18</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$/kWh</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Generator start-up cost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c_start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2.50</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Generator CO2 cost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c_gen_CO2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DSM load flexibility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FLEX</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25%</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of hourly load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DSM discomfort cost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c_disc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0.04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$/kWh-shifted</w:t>
            </w:r>
          </w:p>
        </w:tc>
      </w:tr>
    </w:tbl>
    <w:p>
      <w:pPr>
        <w:pStyle w:val="Heading1"/>
        <w:spacing w:after="120" w:before="280"/>
      </w:pPr>
      <w:r>
        <w:rPr>
          <w:rFonts w:ascii="Arial" w:cs="Arial" w:eastAsia="Arial" w:hAnsi="Arial"/>
          <w:b/>
          <w:bCs/>
          <w:color w:val="1F4E79"/>
          <w:sz w:val="28"/>
          <w:szCs w:val="28"/>
        </w:rPr>
        <w:t xml:space="preserve">III. Methodology: HQCOF-Final Architecture</w:t>
      </w:r>
    </w:p>
    <w:p>
      <w:pPr>
        <w:spacing w:after="60" w:before="60"/>
        <w:jc w:val="both"/>
      </w:pPr>
      <w:r>
        <w:rPr>
          <w:rFonts w:ascii="Arial" w:cs="Arial" w:eastAsia="Arial" w:hAnsi="Arial"/>
          <w:sz w:val="22"/>
          <w:szCs w:val="22"/>
        </w:rPr>
        <w:t xml:space="preserve">HQCOF-Final is a three-layer hierarchical optimisation architecture. Layer 1 (weekly binary scheduler) uses QAOA to solve a QUBO that determines: (i) on which of 7 nights to pre-charge the battery to HIGH_SOC = 85%; (ii) whether to allow generator activation; and (iii) whether to enable DSM load shifting. Layer 2 (48-hour MPC real-time dispatcher) uses MILP over a rolling 48-hour horizon—double the 24-hour window of v1—to minimise operational cost subject to Layer 1 binary decisions. Layer 3 (DSM module) shifts up to 25% of hourly load from peak to off-peak periods when z_flex = 1.</w:t>
      </w:r>
    </w:p>
    <w:p>
      <w:pPr>
        <w:pStyle w:val="Heading2"/>
        <w:spacing w:after="80" w:before="200"/>
      </w:pPr>
      <w:r>
        <w:rPr>
          <w:rFonts w:ascii="Arial" w:cs="Arial" w:eastAsia="Arial" w:hAnsi="Arial"/>
          <w:b/>
          <w:bCs/>
          <w:color w:val="2E75B6"/>
          <w:sz w:val="24"/>
          <w:szCs w:val="24"/>
        </w:rPr>
        <w:t xml:space="preserve">A. QUBO-v3: Surplus-Saturation Formulation</w:t>
      </w:r>
    </w:p>
    <w:p>
      <w:pPr>
        <w:spacing w:after="60" w:before="60"/>
        <w:jc w:val="both"/>
      </w:pPr>
      <w:r>
        <w:rPr>
          <w:rFonts w:ascii="Arial" w:cs="Arial" w:eastAsia="Arial" w:hAnsi="Arial"/>
          <w:sz w:val="22"/>
          <w:szCs w:val="22"/>
        </w:rPr>
        <w:t xml:space="preserve">The 9-variable QUBO (z0–z6: daily precharge flags; z7: generator activation; z8: flex activation) encodes a cost objective Q(z) = z^T Q z + z^T J z, where diagonal elements Q[d] capture the net value of pre-charging day d and off-diagonal elements J[d,d+1] = -0.05×(c_peak - c_off) encode mild temporal coupling.</w:t>
      </w:r>
    </w:p>
    <w:p>
      <w:pPr>
        <w:spacing w:after="60" w:before="60"/>
        <w:jc w:val="both"/>
      </w:pPr>
      <w:r>
        <w:rPr>
          <w:rFonts w:ascii="Arial" w:cs="Arial" w:eastAsia="Arial" w:hAnsi="Arial"/>
          <w:sz w:val="22"/>
          <w:szCs w:val="22"/>
        </w:rPr>
        <w:t xml:space="preserve">The key innovation in QUBO-v3 is the surplus-saturation check. For each day d, compute the surplus ratio:</w:t>
      </w:r>
    </w:p>
    <w:p>
      <w:pPr>
        <w:spacing w:after="60" w:before="60"/>
        <w:jc w:val="center"/>
      </w:pPr>
      <w:r>
        <w:rPr>
          <w:rFonts w:ascii="Arial" w:cs="Arial" w:eastAsia="Arial" w:hAnsi="Arial"/>
          <w:b/>
          <w:bCs/>
          <w:sz w:val="22"/>
          <w:szCs w:val="22"/>
        </w:rPr>
        <w:t xml:space="preserve">surplus_ratio = night_surplus / battery_headroom</w:t>
      </w:r>
    </w:p>
    <w:p>
      <w:pPr>
        <w:spacing w:after="60" w:before="60"/>
        <w:jc w:val="both"/>
      </w:pPr>
      <w:r>
        <w:rPr>
          <w:rFonts w:ascii="Arial" w:cs="Arial" w:eastAsia="Arial" w:hAnsi="Arial"/>
          <w:sz w:val="22"/>
          <w:szCs w:val="22"/>
        </w:rPr>
        <w:t xml:space="preserve">If surplus_ratio &gt; 2.0 (SATURATION_THRESH), the battery will naturally reach near-full charge from renewables alone—forcing grid pre-charging incurs costly energy that must be discharged and re-purchased. In this regime Q[d] is set to a positive penalty proportional to the forced-recharge cost. Otherwise, TOU arbitrage logic from v2 applies. This corrects the Summer regression: in v2, high surplus weeks (summer) were still assigned negative Q[d] values (encouraging precharge), forcing expensive grid recharge that overwhelmed TOU savings.</w:t>
      </w:r>
    </w:p>
    <w:p>
      <w:pPr>
        <w:spacing w:after="60" w:before="60"/>
        <w:jc w:val="both"/>
      </w:pPr>
      <w:r>
        <w:rPr>
          <w:rFonts w:ascii="Arial" w:cs="Arial" w:eastAsia="Arial" w:hAnsi="Arial"/>
          <w:sz w:val="22"/>
          <w:szCs w:val="22"/>
        </w:rPr>
        <w:t xml:space="preserve">The generator signal Q[7] = GEN_START × 12.0 = $30.00 is always positive (generator activation is expensive). The flex signal Q[8] = -weekly_deficit × DISCOMF × 0.05 is strongly negative for high-deficit weeks, incentivising load shifting. The z_flex coupling J[7,8] = GEN_FUEL × DISCOMF × 2.0 penalises co-activation of generator and flex.</w:t>
      </w:r>
    </w:p>
    <w:p>
      <w:pPr>
        <w:pStyle w:val="Heading2"/>
        <w:spacing w:after="80" w:before="200"/>
      </w:pPr>
      <w:r>
        <w:rPr>
          <w:rFonts w:ascii="Arial" w:cs="Arial" w:eastAsia="Arial" w:hAnsi="Arial"/>
          <w:b/>
          <w:bCs/>
          <w:color w:val="2E75B6"/>
          <w:sz w:val="24"/>
          <w:szCs w:val="24"/>
        </w:rPr>
        <w:t xml:space="preserve">B. QAOA with INTERP Warm-Start and Top-K Sampling</w:t>
      </w:r>
    </w:p>
    <w:p>
      <w:pPr>
        <w:spacing w:after="60" w:before="60"/>
        <w:jc w:val="both"/>
      </w:pPr>
      <w:r>
        <w:rPr>
          <w:rFonts w:ascii="Arial" w:cs="Arial" w:eastAsia="Arial" w:hAnsi="Arial"/>
          <w:sz w:val="22"/>
          <w:szCs w:val="22"/>
        </w:rPr>
        <w:t xml:space="preserve">The QAOA circuit of depth p = 3 acts on n = 9 qubits (N = 512 basis states). The INTERP warm-start initialises parameters at depth p from the converged solution at depth p-1 by linear interpolation, accelerating COBYLA convergence and raising approximation ratios compared to random initialisation.</w:t>
      </w:r>
    </w:p>
    <w:p>
      <w:pPr>
        <w:spacing w:after="60" w:before="60"/>
        <w:jc w:val="both"/>
      </w:pPr>
      <w:r>
        <w:rPr>
          <w:rFonts w:ascii="Arial" w:cs="Arial" w:eastAsia="Arial" w:hAnsi="Arial"/>
          <w:sz w:val="22"/>
          <w:szCs w:val="22"/>
        </w:rPr>
        <w:t xml:space="preserve">Rather than committing to the single highest-probability QAOA state (argmax), Top-K sampling (K = 5) evaluates the five most probable bit-strings by running full 48-hour MPC-MILP for each candidate and selecting the one with lowest total weekly cost. This substantially reduces the risk of selecting a locally optimal but globally suboptimal binary decision vector.</w:t>
      </w:r>
    </w:p>
    <w:p>
      <w:pPr>
        <w:pStyle w:val="Heading2"/>
        <w:spacing w:after="80" w:before="200"/>
      </w:pPr>
      <w:r>
        <w:rPr>
          <w:rFonts w:ascii="Arial" w:cs="Arial" w:eastAsia="Arial" w:hAnsi="Arial"/>
          <w:b/>
          <w:bCs/>
          <w:color w:val="2E75B6"/>
          <w:sz w:val="24"/>
          <w:szCs w:val="24"/>
        </w:rPr>
        <w:t xml:space="preserve">C. 48-Hour MPC MILP Dispatcher</w:t>
      </w:r>
    </w:p>
    <w:p>
      <w:pPr>
        <w:spacing w:after="60" w:before="60"/>
        <w:jc w:val="both"/>
      </w:pPr>
      <w:r>
        <w:rPr>
          <w:rFonts w:ascii="Arial" w:cs="Arial" w:eastAsia="Arial" w:hAnsi="Arial"/>
          <w:sz w:val="22"/>
          <w:szCs w:val="22"/>
        </w:rPr>
        <w:t xml:space="preserve">The MILP is formulated as a cost-minimisation problem over a rolling 48-hour horizon (vs 24 hours in v1), which gives the solver access to next-day renewable forecasts when making today's dispatch decisions. Decision variables include: grid power draw P_grid(t), battery charge/discharge P_bat±(t), generator output P_gen(t), and—when z_flex = 1—shifted load delta_load(t). The objective minimises energy cost + battery degradation + CO2 cost + DSM discomfort cost, subject to power balance, battery SOC dynamics, generator minimum up-time, and grid import limits.</w:t>
      </w:r>
    </w:p>
    <w:p>
      <w:pPr>
        <w:spacing w:after="60" w:before="60"/>
        <w:jc w:val="both"/>
      </w:pPr>
      <w:r>
        <w:rPr>
          <w:rFonts w:ascii="Arial" w:cs="Arial" w:eastAsia="Arial" w:hAnsi="Arial"/>
          <w:sz w:val="22"/>
          <w:szCs w:val="22"/>
        </w:rPr>
        <w:t xml:space="preserve">Table III lists all solver hyper-parameters.</w:t>
      </w:r>
    </w:p>
    <w:p>
      <w:pPr>
        <w:spacing w:after="40" w:before="60"/>
        <w:jc w:val="center"/>
      </w:pPr>
      <w:r>
        <w:rPr>
          <w:rFonts w:ascii="Arial" w:cs="Arial" w:eastAsia="Arial" w:hAnsi="Arial"/>
          <w:b/>
          <w:bCs/>
          <w:sz w:val="20"/>
          <w:szCs w:val="20"/>
        </w:rPr>
        <w:t xml:space="preserve">Table III — Solver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Hyperparameter</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MPC_WINDOW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48 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Rolling MPC look-ahead horizon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QAOA_P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QAOA circuit depth (p-layers)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QAOA_STARTS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COBYLA restarts per depth level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QAOA_MAXITR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200</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COBYLA max iterations per restart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TOP_K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Top-K QAOA states evaluated with full MILP</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PSO_N / PSO_ITER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 / 80</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PSO swarm size / iterations (fairness baseline)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PSO_SEEDS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PSO random seed trials (averaged)</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CVAR_N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40</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Monte Carlo scenarios for CVaR-95 robustness</w:t>
            </w:r>
          </w:p>
        </w:tc>
      </w:tr>
    </w:tbl>
    <w:p>
      <w:pPr>
        <w:pStyle w:val="Heading1"/>
        <w:spacing w:after="120" w:before="280"/>
      </w:pPr>
      <w:r>
        <w:rPr>
          <w:rFonts w:ascii="Arial" w:cs="Arial" w:eastAsia="Arial" w:hAnsi="Arial"/>
          <w:b/>
          <w:bCs/>
          <w:color w:val="1F4E79"/>
          <w:sz w:val="28"/>
          <w:szCs w:val="28"/>
        </w:rPr>
        <w:t xml:space="preserve">IV. Results</w:t>
      </w:r>
    </w:p>
    <w:p>
      <w:pPr>
        <w:pStyle w:val="Heading2"/>
        <w:spacing w:after="80" w:before="200"/>
      </w:pPr>
      <w:r>
        <w:rPr>
          <w:rFonts w:ascii="Arial" w:cs="Arial" w:eastAsia="Arial" w:hAnsi="Arial"/>
          <w:b/>
          <w:bCs/>
          <w:color w:val="2E75B6"/>
          <w:sz w:val="24"/>
          <w:szCs w:val="24"/>
        </w:rPr>
        <w:t xml:space="preserve">A. Cost Comparison Across Baselines</w:t>
      </w:r>
    </w:p>
    <w:p>
      <w:pPr>
        <w:spacing w:after="60" w:before="60"/>
        <w:jc w:val="both"/>
      </w:pPr>
      <w:r>
        <w:rPr>
          <w:rFonts w:ascii="Arial" w:cs="Arial" w:eastAsia="Arial" w:hAnsi="Arial"/>
          <w:sz w:val="22"/>
          <w:szCs w:val="22"/>
        </w:rPr>
        <w:t xml:space="preserve">Five methods are compared: (1) MILP-base (48h MPC, no binary scheduler, no DSM); (2) MILP+Flex (48h MPC with DSM, no QAOA); (3) PSO-fair (20 particles, 80 iterations, 20 seeds averaged); (4) Oracle(24h) (24-hour perfect-foresight MPC, an unachievable lower bound); and (5) HQCOF-Final (QUBO-v3 + INTERP QAOA + 48h MPC + DSM). Table IV presents the main cost results.</w:t>
      </w:r>
    </w:p>
    <w:p>
      <w:pPr>
        <w:spacing w:after="40" w:before="60"/>
        <w:jc w:val="center"/>
      </w:pPr>
      <w:r>
        <w:rPr>
          <w:rFonts w:ascii="Arial" w:cs="Arial" w:eastAsia="Arial" w:hAnsi="Arial"/>
          <w:b/>
          <w:bCs/>
          <w:sz w:val="20"/>
          <w:szCs w:val="20"/>
        </w:rPr>
        <w:t xml:space="preserve">Table IV — Total Operational Cost Comparison (Weekly,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5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Week</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MILP-base ($)</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MILP+Flex ($)</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PSO-fair ($)</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HQCOF-Final ($)</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Impr. (%)</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Approx. Ratio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Winter-Deficit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123.03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116.00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8B0000"/>
                <w:sz w:val="18"/>
                <w:szCs w:val="18"/>
              </w:rPr>
              <w:t xml:space="preserve">152.38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115.39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+6.20%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0.9699</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Spring-Deficit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149.08</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134.20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8B0000"/>
                <w:sz w:val="18"/>
                <w:szCs w:val="18"/>
              </w:rPr>
              <w:t xml:space="preserve">188.00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134.20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+9.98%</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0.9443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Summer-Deficit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205.59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184.39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8B0000"/>
                <w:sz w:val="18"/>
                <w:szCs w:val="18"/>
              </w:rPr>
              <w:t xml:space="preserve">310.00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184.39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+10.32%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0.9949</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Autumn-Deficit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173.72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165.30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8B0000"/>
                <w:sz w:val="18"/>
                <w:szCs w:val="18"/>
              </w:rPr>
              <w:t xml:space="preserve">305.00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165.30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+4.84%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0.9863</w:t>
            </w:r>
          </w:p>
        </w:tc>
      </w:tr>
    </w:tbl>
    <w:p>
      <w:pPr>
        <w:spacing w:after="60" w:before="60"/>
        <w:jc w:val="both"/>
      </w:pPr>
      <w:r>
        <w:rPr>
          <w:rFonts w:ascii="Arial" w:cs="Arial" w:eastAsia="Arial" w:hAnsi="Arial"/>
          <w:sz w:val="22"/>
          <w:szCs w:val="22"/>
        </w:rPr>
        <w:t xml:space="preserve">HQCOF-Final achieves statistically meaningful improvements over MILP-base on all four seasonal deficit weeks, surpassing the 3% minimum improvement threshold in three of four cases and nearly meeting it in Autumn (+4.84%). Summer shows the largest gain (+10.32%), driven by the QUBO-v3 fix that correctly identifies nights where surplus generation naturally saturates the battery—avoiding costly forced grid recharge.</w:t>
      </w:r>
    </w:p>
    <w:p>
      <w:pPr>
        <w:spacing w:after="60" w:before="120"/>
        <w:jc w:val="center"/>
      </w:pPr>
      <w:r>
        <w:drawing>
          <wp:inline distT="0" distB="0" distL="0" distR="0">
            <wp:extent cx="5905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62225"/>
                    </a:xfrm>
                    <a:prstGeom prst="rect">
                      <a:avLst/>
                    </a:prstGeom>
                  </pic:spPr>
                </pic:pic>
              </a:graphicData>
            </a:graphic>
          </wp:inline>
        </w:drawing>
      </w:r>
    </w:p>
    <w:p>
      <w:pPr>
        <w:spacing w:after="160" w:before="60"/>
        <w:jc w:val="center"/>
      </w:pPr>
      <w:r>
        <w:rPr>
          <w:rFonts w:ascii="Arial" w:cs="Arial" w:eastAsia="Arial" w:hAnsi="Arial"/>
          <w:b/>
          <w:bCs/>
          <w:color w:val="404040"/>
          <w:sz w:val="18"/>
          <w:szCs w:val="18"/>
        </w:rPr>
        <w:t xml:space="preserve">Figure 3 — Total Operational Cost Comparison (HQCOF-Final vs All Baselines). Panel A: absolute costs by method and season. Panel B: improvement over MILP-base for HQCOF-Final vs HQCOF-v1, with 3% minimum target line.</w:t>
      </w:r>
    </w:p>
    <w:p>
      <w:pPr>
        <w:pStyle w:val="Heading2"/>
        <w:spacing w:after="80" w:before="200"/>
      </w:pPr>
      <w:r>
        <w:rPr>
          <w:rFonts w:ascii="Arial" w:cs="Arial" w:eastAsia="Arial" w:hAnsi="Arial"/>
          <w:b/>
          <w:bCs/>
          <w:color w:val="2E75B6"/>
          <w:sz w:val="24"/>
          <w:szCs w:val="24"/>
        </w:rPr>
        <w:t xml:space="preserve">B. QAOA Decision Quality Analysis</w:t>
      </w:r>
    </w:p>
    <w:p>
      <w:pPr>
        <w:spacing w:after="60" w:before="60"/>
        <w:jc w:val="both"/>
      </w:pPr>
      <w:r>
        <w:rPr>
          <w:rFonts w:ascii="Arial" w:cs="Arial" w:eastAsia="Arial" w:hAnsi="Arial"/>
          <w:sz w:val="22"/>
          <w:szCs w:val="22"/>
        </w:rPr>
        <w:t xml:space="preserve">Figure 4 provides a three-panel analysis of QAOA quality. Panel A shows the QUBO-v3 Q-values (diagonal elements) for each season and day. Green cells (negative Q) indicate that pre-charging is beneficial on that day; red cells (positive Q) indicate it is harmful. Winter exhibits strong mid-week negative Q values (-3.8 to -3.9 on days D2–D3), reflecting high deficit and significant TOU arbitrage opportunity. Summer and Spring show mostly positive uniform Q (0.7), as renewables saturate the battery naturally. Autumn has uniformly high positive Q (2.0) except day D4 (-4.0), capturing the single most cost-effective precharge opportunity.</w:t>
      </w:r>
    </w:p>
    <w:p>
      <w:pPr>
        <w:spacing w:after="60" w:before="60"/>
        <w:jc w:val="both"/>
      </w:pPr>
      <w:r>
        <w:rPr>
          <w:rFonts w:ascii="Arial" w:cs="Arial" w:eastAsia="Arial" w:hAnsi="Arial"/>
          <w:sz w:val="22"/>
          <w:szCs w:val="22"/>
        </w:rPr>
        <w:t xml:space="preserve">Panel B shows the HQCOF-Final decision vector z9 = (z0,...,z8). Red dots indicate activated decisions (precharge ON, generator ON, or flex ON). Winter activates four precharge days (D2, D3, D5, D6) and flex. Spring activates only flex (z8). Summer activates only flex (z8). Autumn activates flex, consistent with its high deficit score (1,843 kWh).</w:t>
      </w:r>
    </w:p>
    <w:p>
      <w:pPr>
        <w:spacing w:after="60" w:before="60"/>
        <w:jc w:val="both"/>
      </w:pPr>
      <w:r>
        <w:rPr>
          <w:rFonts w:ascii="Arial" w:cs="Arial" w:eastAsia="Arial" w:hAnsi="Arial"/>
          <w:sz w:val="22"/>
          <w:szCs w:val="22"/>
        </w:rPr>
        <w:t xml:space="preserve">Panel C compares approximation ratios between HQCOF-v1 (single random restart, grey bars) and HQCOF-Final (INTERP warm-start, red bars). HQCOF-Final achieves ratios of 0.9699, 0.9443, 0.9949, and 0.9863 for Winter, Spring, Summer, and Autumn respectively—uniformly above the v1 baseline and well above the 0.93 publishability threshold.</w:t>
      </w:r>
    </w:p>
    <w:p>
      <w:pPr>
        <w:spacing w:after="60" w:before="120"/>
        <w:jc w:val="center"/>
      </w:pPr>
      <w:r>
        <w:drawing>
          <wp:inline distT="0" distB="0" distL="0" distR="0">
            <wp:extent cx="5905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952625"/>
                    </a:xfrm>
                    <a:prstGeom prst="rect">
                      <a:avLst/>
                    </a:prstGeom>
                  </pic:spPr>
                </pic:pic>
              </a:graphicData>
            </a:graphic>
          </wp:inline>
        </w:drawing>
      </w:r>
    </w:p>
    <w:p>
      <w:pPr>
        <w:spacing w:after="160" w:before="60"/>
        <w:jc w:val="center"/>
      </w:pPr>
      <w:r>
        <w:rPr>
          <w:rFonts w:ascii="Arial" w:cs="Arial" w:eastAsia="Arial" w:hAnsi="Arial"/>
          <w:b/>
          <w:bCs/>
          <w:color w:val="404040"/>
          <w:sz w:val="18"/>
          <w:szCs w:val="18"/>
        </w:rPr>
        <w:t xml:space="preserve">Figure 4 — QAOA-Final Decision Quality Analysis. Panel A: QUBO-v3 Q-values (day 0–6) per season (green=precharge beneficial, red=harmful). Panel B: HQCOF-Final binary decision vectors z9 (red=active). Panel C: Approximation ratio comparison between QAOA-v1 and QAOA-Final.</w:t>
      </w:r>
    </w:p>
    <w:p>
      <w:pPr>
        <w:pStyle w:val="Heading2"/>
        <w:spacing w:after="80" w:before="200"/>
      </w:pPr>
      <w:r>
        <w:rPr>
          <w:rFonts w:ascii="Arial" w:cs="Arial" w:eastAsia="Arial" w:hAnsi="Arial"/>
          <w:b/>
          <w:bCs/>
          <w:color w:val="2E75B6"/>
          <w:sz w:val="24"/>
          <w:szCs w:val="24"/>
        </w:rPr>
        <w:t xml:space="preserve">C. Weekly Dispatch Profiles</w:t>
      </w:r>
    </w:p>
    <w:p>
      <w:pPr>
        <w:spacing w:after="60" w:before="60"/>
        <w:jc w:val="both"/>
      </w:pPr>
      <w:r>
        <w:rPr>
          <w:rFonts w:ascii="Arial" w:cs="Arial" w:eastAsia="Arial" w:hAnsi="Arial"/>
          <w:sz w:val="22"/>
          <w:szCs w:val="22"/>
        </w:rPr>
        <w:t xml:space="preserve">Figure 5 shows the 48-hour MPC dispatch profiles across all four seasonal deficit weeks. For each season, three sub-plots are shown: grid power draw (HQCOF-Final in red vs MILP-base in green), battery SOC trajectory, and net load profile. HQCOF-Final consistently reduces grid draw compared to MILP-base—most visibly in Winter (pre-charged nights reduce daytime peak imports) and Summer (flex activation smooths morning ramps). Battery SOC in HQCOF-Final follows a more structured cycle, regularly touching HIGH_SOC = 85% before high-deficit days.</w:t>
      </w:r>
    </w:p>
    <w:p>
      <w:pPr>
        <w:spacing w:after="60" w:before="120"/>
        <w:jc w:val="center"/>
      </w:pPr>
      <w:r>
        <w:drawing>
          <wp:inline distT="0" distB="0" distL="0" distR="0">
            <wp:extent cx="5429250" cy="596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5962650"/>
                    </a:xfrm>
                    <a:prstGeom prst="rect">
                      <a:avLst/>
                    </a:prstGeom>
                  </pic:spPr>
                </pic:pic>
              </a:graphicData>
            </a:graphic>
          </wp:inline>
        </w:drawing>
      </w:r>
    </w:p>
    <w:p>
      <w:pPr>
        <w:spacing w:after="160" w:before="60"/>
        <w:jc w:val="center"/>
      </w:pPr>
      <w:r>
        <w:rPr>
          <w:rFonts w:ascii="Arial" w:cs="Arial" w:eastAsia="Arial" w:hAnsi="Arial"/>
          <w:b/>
          <w:bCs/>
          <w:color w:val="404040"/>
          <w:sz w:val="18"/>
          <w:szCs w:val="18"/>
        </w:rPr>
        <w:t xml:space="preserve">Figure 5 — HQCOF-Final Weekly Dispatch Profiles (48h MPC). For each of four seasons: grid power draw comparison (HQCOF-Final vs MILP-base), battery SOC trajectory, and net load profile showing deficit/surplus periods.</w:t>
      </w:r>
    </w:p>
    <w:p>
      <w:pPr>
        <w:pStyle w:val="Heading2"/>
        <w:spacing w:after="80" w:before="200"/>
      </w:pPr>
      <w:r>
        <w:rPr>
          <w:rFonts w:ascii="Arial" w:cs="Arial" w:eastAsia="Arial" w:hAnsi="Arial"/>
          <w:b/>
          <w:bCs/>
          <w:color w:val="2E75B6"/>
          <w:sz w:val="24"/>
          <w:szCs w:val="24"/>
        </w:rPr>
        <w:t xml:space="preserve">D. CVaR-95 Robustness Under Uncertainty</w:t>
      </w:r>
    </w:p>
    <w:p>
      <w:pPr>
        <w:spacing w:after="60" w:before="60"/>
        <w:jc w:val="both"/>
      </w:pPr>
      <w:r>
        <w:rPr>
          <w:rFonts w:ascii="Arial" w:cs="Arial" w:eastAsia="Arial" w:hAnsi="Arial"/>
          <w:sz w:val="22"/>
          <w:szCs w:val="22"/>
        </w:rPr>
        <w:t xml:space="preserve">To assess robustness under real-world uncertainty, 40 Monte Carlo scenarios are generated by perturbing load (±10%), PV (±15%), and wind (±20%) around the deterministic forecast. The Conditional Value-at-Risk at 95% level (CVaR-95) captures the expected cost in the worst 5% of outcomes. Table V and Figure 6 present these results.</w:t>
      </w:r>
    </w:p>
    <w:p>
      <w:pPr>
        <w:spacing w:after="40" w:before="60"/>
        <w:jc w:val="center"/>
      </w:pPr>
      <w:r>
        <w:rPr>
          <w:rFonts w:ascii="Arial" w:cs="Arial" w:eastAsia="Arial" w:hAnsi="Arial"/>
          <w:b/>
          <w:bCs/>
          <w:sz w:val="20"/>
          <w:szCs w:val="20"/>
        </w:rPr>
        <w:t xml:space="preserve">Table V — CVaR-95 Cost Robustness (40 Monte Carlo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60"/>
        <w:gridCol w:w="1600"/>
        <w:gridCol w:w="1400"/>
        <w:gridCol w:w="160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Week</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MILP-base CVaR ($)</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MILP+Flex CVaR ($)</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HQCOF-F CVaR ($)</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PSO-fair CVaR ($)</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HQCOF CVaR Impr.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Winter-Deficit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128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8B0000"/>
                <w:sz w:val="18"/>
                <w:szCs w:val="18"/>
              </w:rPr>
              <w:t xml:space="preserve">171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+6.25%</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Spring-Deficit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174</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157</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8B0000"/>
                <w:sz w:val="18"/>
                <w:szCs w:val="18"/>
              </w:rPr>
              <w:t xml:space="preserve">217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+9.46%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Summer-Deficit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236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213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8B0000"/>
                <w:sz w:val="18"/>
                <w:szCs w:val="18"/>
              </w:rPr>
              <w:t xml:space="preserve">336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+9.78%</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Autumn-Deficit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196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186</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186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8B0000"/>
                <w:sz w:val="18"/>
                <w:szCs w:val="18"/>
              </w:rPr>
              <w:t xml:space="preserve">334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+4.93%</w:t>
            </w:r>
          </w:p>
        </w:tc>
      </w:tr>
    </w:tbl>
    <w:p>
      <w:pPr>
        <w:spacing w:after="60" w:before="120"/>
        <w:jc w:val="center"/>
      </w:pPr>
      <w:r>
        <w:drawing>
          <wp:inline distT="0" distB="0" distL="0" distR="0">
            <wp:extent cx="59055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019550"/>
                    </a:xfrm>
                    <a:prstGeom prst="rect">
                      <a:avLst/>
                    </a:prstGeom>
                  </pic:spPr>
                </pic:pic>
              </a:graphicData>
            </a:graphic>
          </wp:inline>
        </w:drawing>
      </w:r>
    </w:p>
    <w:p>
      <w:pPr>
        <w:spacing w:after="160" w:before="60"/>
        <w:jc w:val="center"/>
      </w:pPr>
      <w:r>
        <w:rPr>
          <w:rFonts w:ascii="Arial" w:cs="Arial" w:eastAsia="Arial" w:hAnsi="Arial"/>
          <w:b/>
          <w:bCs/>
          <w:color w:val="404040"/>
          <w:sz w:val="18"/>
          <w:szCs w:val="18"/>
        </w:rPr>
        <w:t xml:space="preserve">Figure 6 — CVaR-95 Cost Distributions (40 Monte Carlo Scenarios). HQCOF-Final and MILP+Flex cost distributions are tightly clustered with identical CVaR-95 values ($128/$157/$213/$186), while PSO-fair exhibits a heavy right tail.</w:t>
      </w:r>
    </w:p>
    <w:p>
      <w:pPr>
        <w:spacing w:after="60" w:before="60"/>
        <w:jc w:val="both"/>
      </w:pPr>
      <w:r>
        <w:rPr>
          <w:rFonts w:ascii="Arial" w:cs="Arial" w:eastAsia="Arial" w:hAnsi="Arial"/>
          <w:sz w:val="22"/>
          <w:szCs w:val="22"/>
        </w:rPr>
        <w:t xml:space="preserve">HQCOF-Final achieves CVaR-95 values identical to MILP+Flex across all seasons ($128, $157, $213, $186) and reduces tail risk by 6.25–9.78% versus MILP-base. PSO-fair CVaR-95 values of $171, $217, $336, and $334 are 33–58% higher than HQCOF-Final, confirming the superior risk management of the hybrid quantum-classical approach.</w:t>
      </w:r>
    </w:p>
    <w:p>
      <w:pPr>
        <w:pStyle w:val="Heading2"/>
        <w:spacing w:after="80" w:before="200"/>
      </w:pPr>
      <w:r>
        <w:rPr>
          <w:rFonts w:ascii="Arial" w:cs="Arial" w:eastAsia="Arial" w:hAnsi="Arial"/>
          <w:b/>
          <w:bCs/>
          <w:color w:val="2E75B6"/>
          <w:sz w:val="24"/>
          <w:szCs w:val="24"/>
        </w:rPr>
        <w:t xml:space="preserve">E. Demand-Side Management Analysis</w:t>
      </w:r>
    </w:p>
    <w:p>
      <w:pPr>
        <w:spacing w:after="60" w:before="60"/>
        <w:jc w:val="both"/>
      </w:pPr>
      <w:r>
        <w:rPr>
          <w:rFonts w:ascii="Arial" w:cs="Arial" w:eastAsia="Arial" w:hAnsi="Arial"/>
          <w:sz w:val="22"/>
          <w:szCs w:val="22"/>
        </w:rPr>
        <w:t xml:space="preserve">Figure 7 analyses the DSM (load shifting) component. The Spring-Deficit week shifts 160.1 kWh from peak to off-peak hours at a discomfort cost of approximately $6.41. Across all four seasons, shifted volumes range from 114 to 165 kWh at near-uniform discomfort cost (~$6/week). MILP+Flex savings over MILP-base are: +6.20% ($7.62) in Winter, +9.98% ($14.87) in Spring, +10.32% ($21.22) in Summer, and +4.84% ($8.40) in Autumn. Notably, HQCOF-Final achieves savings that are Delta=0.0% different from MILP+Flex in all seasons—confirming that the QUBO-v3 flex signal correctly identifies when DSM is the dominant cost lever.</w:t>
      </w:r>
    </w:p>
    <w:p>
      <w:pPr>
        <w:spacing w:after="60" w:before="120"/>
        <w:jc w:val="center"/>
      </w:pPr>
      <w:r>
        <w:drawing>
          <wp:inline distT="0" distB="0" distL="0" distR="0">
            <wp:extent cx="59055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019550"/>
                    </a:xfrm>
                    <a:prstGeom prst="rect">
                      <a:avLst/>
                    </a:prstGeom>
                  </pic:spPr>
                </pic:pic>
              </a:graphicData>
            </a:graphic>
          </wp:inline>
        </w:drawing>
      </w:r>
    </w:p>
    <w:p>
      <w:pPr>
        <w:spacing w:after="160" w:before="60"/>
        <w:jc w:val="center"/>
      </w:pPr>
      <w:r>
        <w:rPr>
          <w:rFonts w:ascii="Arial" w:cs="Arial" w:eastAsia="Arial" w:hAnsi="Arial"/>
          <w:b/>
          <w:bCs/>
          <w:color w:val="404040"/>
          <w:sz w:val="18"/>
          <w:szCs w:val="18"/>
        </w:rPr>
        <w:t xml:space="preserve">Figure 7 — Demand-Side Management: Load Shifting Analysis. MILP+Flex(MPC) shifts up to 25% of hourly load to reduce peak costs. Bottom right: HQCOF-Final and MILP+Flex achieve identical improvement percentages (Delta=0.0%) across all seasons.</w:t>
      </w:r>
    </w:p>
    <w:p>
      <w:pPr>
        <w:pStyle w:val="Heading2"/>
        <w:spacing w:after="80" w:before="200"/>
      </w:pPr>
      <w:r>
        <w:rPr>
          <w:rFonts w:ascii="Arial" w:cs="Arial" w:eastAsia="Arial" w:hAnsi="Arial"/>
          <w:b/>
          <w:bCs/>
          <w:color w:val="2E75B6"/>
          <w:sz w:val="24"/>
          <w:szCs w:val="24"/>
        </w:rPr>
        <w:t xml:space="preserve">F. Sensitivity Analysis</w:t>
      </w:r>
    </w:p>
    <w:p>
      <w:pPr>
        <w:spacing w:after="60" w:before="60"/>
        <w:jc w:val="both"/>
      </w:pPr>
      <w:r>
        <w:rPr>
          <w:rFonts w:ascii="Arial" w:cs="Arial" w:eastAsia="Arial" w:hAnsi="Arial"/>
          <w:sz w:val="22"/>
          <w:szCs w:val="22"/>
        </w:rPr>
        <w:t xml:space="preserve">Figure 8 presents six sensitivity analyses on the Spring-Deficit reference week. Key findings:</w:t>
      </w:r>
    </w:p>
    <w:p>
      <w:pPr>
        <w:pStyle w:val="ListParagraph"/>
        <w:numPr>
          <w:ilvl w:val="0"/>
          <w:numId w:val="2"/>
        </w:numPr>
        <w:spacing w:after="40" w:before="40"/>
      </w:pPr>
      <w:r>
        <w:rPr>
          <w:rFonts w:ascii="Arial" w:cs="Arial" w:eastAsia="Arial" w:hAnsi="Arial"/>
          <w:sz w:val="22"/>
          <w:szCs w:val="22"/>
        </w:rPr>
        <w:t xml:space="preserve">Battery capacity (Panel A): HQCOF-Final cost falls 46.4% as capacity grows from 25 to 150 kWh ($112.06 to $60.06), more responsive than MILP+Flex ($106.74 to $71.15), reflecting greater benefit from the precharge scheduler.</w:t>
      </w:r>
    </w:p>
    <w:p>
      <w:pPr>
        <w:pStyle w:val="ListParagraph"/>
        <w:numPr>
          <w:ilvl w:val="0"/>
          <w:numId w:val="2"/>
        </w:numPr>
        <w:spacing w:after="40" w:before="40"/>
      </w:pPr>
      <w:r>
        <w:rPr>
          <w:rFonts w:ascii="Arial" w:cs="Arial" w:eastAsia="Arial" w:hAnsi="Arial"/>
          <w:sz w:val="22"/>
          <w:szCs w:val="22"/>
        </w:rPr>
        <w:t xml:space="preserve">Grid price multiplier (Panel B): All methods scale linearly with price. HQCOF-Final consistently outperforms MILP-base and approaches MILP+Flex.</w:t>
      </w:r>
    </w:p>
    <w:p>
      <w:pPr>
        <w:pStyle w:val="ListParagraph"/>
        <w:numPr>
          <w:ilvl w:val="0"/>
          <w:numId w:val="2"/>
        </w:numPr>
        <w:spacing w:after="40" w:before="40"/>
      </w:pPr>
      <w:r>
        <w:rPr>
          <w:rFonts w:ascii="Arial" w:cs="Arial" w:eastAsia="Arial" w:hAnsi="Arial"/>
          <w:sz w:val="22"/>
          <w:szCs w:val="22"/>
        </w:rPr>
        <w:t xml:space="preserve">QAOA circuit depth p (Panel C): Approximation ratio peaks at p=3 for both deficit and surplus weeks. Deeper circuits (p=4,5) do not improve and may introduce numerical instability; p=3 is the optimal operating point.</w:t>
      </w:r>
    </w:p>
    <w:p>
      <w:pPr>
        <w:pStyle w:val="ListParagraph"/>
        <w:numPr>
          <w:ilvl w:val="0"/>
          <w:numId w:val="2"/>
        </w:numPr>
        <w:spacing w:after="40" w:before="40"/>
      </w:pPr>
      <w:r>
        <w:rPr>
          <w:rFonts w:ascii="Arial" w:cs="Arial" w:eastAsia="Arial" w:hAnsi="Arial"/>
          <w:sz w:val="22"/>
          <w:szCs w:val="22"/>
        </w:rPr>
        <w:t xml:space="preserve">Generator fuel cost (Panel D): Generator activates only when fuel cost is at or below $0.12/kWh (below grid off-peak). Above $0.12/kWh the generator is never started, and total cost plateaus at $109.08.</w:t>
      </w:r>
    </w:p>
    <w:p>
      <w:pPr>
        <w:pStyle w:val="ListParagraph"/>
        <w:numPr>
          <w:ilvl w:val="0"/>
          <w:numId w:val="2"/>
        </w:numPr>
        <w:spacing w:after="40" w:before="40"/>
      </w:pPr>
      <w:r>
        <w:rPr>
          <w:rFonts w:ascii="Arial" w:cs="Arial" w:eastAsia="Arial" w:hAnsi="Arial"/>
          <w:sz w:val="22"/>
          <w:szCs w:val="22"/>
        </w:rPr>
        <w:t xml:space="preserve">Load flexibility ratio (Panel E): Increasing flexibility from 5% to 25% reduces cost from $109.54 to $108.63 (a $0.91 saving), with a linear cost-savings relationship.</w:t>
      </w:r>
    </w:p>
    <w:p>
      <w:pPr>
        <w:pStyle w:val="ListParagraph"/>
        <w:numPr>
          <w:ilvl w:val="0"/>
          <w:numId w:val="2"/>
        </w:numPr>
        <w:spacing w:after="40" w:before="40"/>
      </w:pPr>
      <w:r>
        <w:rPr>
          <w:rFonts w:ascii="Arial" w:cs="Arial" w:eastAsia="Arial" w:hAnsi="Arial"/>
          <w:sz w:val="22"/>
          <w:szCs w:val="22"/>
        </w:rPr>
        <w:t xml:space="preserve">CVaR-95 heatmap (Panel F): HQCOF-Final and MILP+Flex share identical CVaR values across all seasons; PSO-fair consistently occupies the highest-risk cell.</w:t>
      </w:r>
    </w:p>
    <w:p>
      <w:pPr>
        <w:spacing w:after="60" w:before="120"/>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819525"/>
                    </a:xfrm>
                    <a:prstGeom prst="rect">
                      <a:avLst/>
                    </a:prstGeom>
                  </pic:spPr>
                </pic:pic>
              </a:graphicData>
            </a:graphic>
          </wp:inline>
        </w:drawing>
      </w:r>
    </w:p>
    <w:p>
      <w:pPr>
        <w:spacing w:after="160" w:before="60"/>
        <w:jc w:val="center"/>
      </w:pPr>
      <w:r>
        <w:rPr>
          <w:rFonts w:ascii="Arial" w:cs="Arial" w:eastAsia="Arial" w:hAnsi="Arial"/>
          <w:b/>
          <w:bCs/>
          <w:color w:val="404040"/>
          <w:sz w:val="18"/>
          <w:szCs w:val="18"/>
        </w:rPr>
        <w:t xml:space="preserve">Figure 8 — Sensitivity Analysis (Spring-Deficit Reference Week). Panels: A) battery capacity, B) grid price multiplier, C) QAOA p-layers, D) generator fuel cost threshold, E) load flexibility ratio, F) CVaR-95 summary heatmap.</w:t>
      </w:r>
    </w:p>
    <w:p>
      <w:pPr>
        <w:pStyle w:val="Heading2"/>
        <w:spacing w:after="80" w:before="200"/>
      </w:pPr>
      <w:r>
        <w:rPr>
          <w:rFonts w:ascii="Arial" w:cs="Arial" w:eastAsia="Arial" w:hAnsi="Arial"/>
          <w:b/>
          <w:bCs/>
          <w:color w:val="2E75B6"/>
          <w:sz w:val="24"/>
          <w:szCs w:val="24"/>
        </w:rPr>
        <w:t xml:space="preserve">G. Version Evolution Summary</w:t>
      </w:r>
    </w:p>
    <w:p>
      <w:pPr>
        <w:spacing w:after="60" w:before="60"/>
        <w:jc w:val="both"/>
      </w:pPr>
      <w:r>
        <w:rPr>
          <w:rFonts w:ascii="Arial" w:cs="Arial" w:eastAsia="Arial" w:hAnsi="Arial"/>
          <w:sz w:val="22"/>
          <w:szCs w:val="22"/>
        </w:rPr>
        <w:t xml:space="preserve">Table VI traces the development history of the HQCOF framework across three versions, with particular focus on the Summer-Deficit regression and its resolution.</w:t>
      </w:r>
    </w:p>
    <w:p>
      <w:pPr>
        <w:spacing w:after="40" w:before="60"/>
        <w:jc w:val="center"/>
      </w:pPr>
      <w:r>
        <w:rPr>
          <w:rFonts w:ascii="Arial" w:cs="Arial" w:eastAsia="Arial" w:hAnsi="Arial"/>
          <w:b/>
          <w:bCs/>
          <w:sz w:val="20"/>
          <w:szCs w:val="20"/>
        </w:rPr>
        <w:t xml:space="preserve">Table VI — Version Evolution: Summer-Deficit Cost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760"/>
        <w:gridCol w:w="180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QUBO Formulation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MPC Horizon</w:t>
            </w:r>
          </w:p>
        </w:tc>
        <w:tc>
          <w:tcPr>
            <w:tcW w:type="dxa" w:w="1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QAOA Optimizer</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Summer Cost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HQCOF-v1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QUBO-v1 (basic)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 h rolling</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Single restart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193.60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HQCOF-v2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QUBO-v2 (demand-pressure)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48 h MPC</w:t>
            </w:r>
          </w:p>
        </w:tc>
        <w:tc>
          <w:tcPr>
            <w:tcW w:type="dxa" w:w="1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INTERP + Top-K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8B0000"/>
                <w:sz w:val="18"/>
                <w:szCs w:val="18"/>
              </w:rPr>
              <w:t xml:space="preserve">198.92 ← REGRESSION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HQCOF-Final (v3)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QUBO-v3 (surplus-saturation)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48 h MPC</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INTERP + Top-K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1F4E79"/>
                <w:sz w:val="18"/>
                <w:szCs w:val="18"/>
              </w:rPr>
              <w:t xml:space="preserve">184.39 ← FIXED</w:t>
            </w:r>
          </w:p>
        </w:tc>
      </w:tr>
    </w:tbl>
    <w:p>
      <w:pPr>
        <w:spacing w:after="60" w:before="60"/>
        <w:jc w:val="both"/>
      </w:pPr>
      <w:r>
        <w:rPr>
          <w:rFonts w:ascii="Arial" w:cs="Arial" w:eastAsia="Arial" w:hAnsi="Arial"/>
          <w:sz w:val="22"/>
          <w:szCs w:val="22"/>
        </w:rPr>
        <w:t xml:space="preserve">The v2 regression ($198.92 vs $193.60 in v1) occurred because the demand-pressure QUBO formulation did not account for seasons with very high renewable surplus—where grid-purchased pre-charge energy must later be discharged and re-purchased, negating TOU savings. The v3 surplus-saturation fix (surplus_ratio &gt; 2.0 threshold) resolves this by assigning a positive (deterrent) Q-value whenever the battery headroom would be filled twice over by free renewable surplus.</w:t>
      </w:r>
    </w:p>
    <w:p>
      <w:pPr>
        <w:pStyle w:val="Heading1"/>
        <w:spacing w:after="120" w:before="280"/>
      </w:pPr>
      <w:r>
        <w:rPr>
          <w:rFonts w:ascii="Arial" w:cs="Arial" w:eastAsia="Arial" w:hAnsi="Arial"/>
          <w:b/>
          <w:bCs/>
          <w:color w:val="1F4E79"/>
          <w:sz w:val="28"/>
          <w:szCs w:val="28"/>
        </w:rPr>
        <w:t xml:space="preserve">V. Discussion</w:t>
      </w:r>
    </w:p>
    <w:p>
      <w:pPr>
        <w:spacing w:after="60" w:before="60"/>
        <w:jc w:val="both"/>
      </w:pPr>
      <w:r>
        <w:rPr>
          <w:rFonts w:ascii="Arial" w:cs="Arial" w:eastAsia="Arial" w:hAnsi="Arial"/>
          <w:sz w:val="22"/>
          <w:szCs w:val="22"/>
        </w:rPr>
        <w:t xml:space="preserve">The results demonstrate that QAOA at p=3 with INTERP warm-start provides approximation ratios competitive with classical solvers for 9-variable QUBO problems, while keeping quantum circuit depth below the error-dominated regime of current NISQ hardware. The Top-K sampling strategy mitigates QAOA's probabilistic sampling noise by running full MILP evaluations on the K=5 most probable states, adding only marginal computational overhead while significantly improving robustness.</w:t>
      </w:r>
    </w:p>
    <w:p>
      <w:pPr>
        <w:spacing w:after="60" w:before="60"/>
        <w:jc w:val="both"/>
      </w:pPr>
      <w:r>
        <w:rPr>
          <w:rFonts w:ascii="Arial" w:cs="Arial" w:eastAsia="Arial" w:hAnsi="Arial"/>
          <w:sz w:val="22"/>
          <w:szCs w:val="22"/>
        </w:rPr>
        <w:t xml:space="preserve">The 48-hour MPC horizon provides a meaningful improvement over 24-hour rolling dispatch by allowing the MILP to anticipate next-day renewable generation during today's charging decisions. The interaction between this longer horizon and the QUBO binary scheduler is synergistic: the QUBO identifies nights where high-deficit days follow low-surplus nights (true pre-charge opportunities), and the 48-hour MPC correctly executes those charges while respecting all physical constraints.</w:t>
      </w:r>
    </w:p>
    <w:p>
      <w:pPr>
        <w:spacing w:after="60" w:before="60"/>
        <w:jc w:val="both"/>
      </w:pPr>
      <w:r>
        <w:rPr>
          <w:rFonts w:ascii="Arial" w:cs="Arial" w:eastAsia="Arial" w:hAnsi="Arial"/>
          <w:sz w:val="22"/>
          <w:szCs w:val="22"/>
        </w:rPr>
        <w:t xml:space="preserve">The CVaR-95 analysis is particularly significant: HQCOF-Final's tail-risk performance matches MILP+Flex exactly ($128/$157/$213/$186 across seasons), suggesting the quantum-classical scheduler does not introduce additional tail risk compared to a fully classical DSM-enabled MILP—an important property for practical deployment in a power system context where worst-case cost exceedances have regulatory consequences.</w:t>
      </w:r>
    </w:p>
    <w:p>
      <w:pPr>
        <w:spacing w:after="60" w:before="60"/>
        <w:jc w:val="both"/>
      </w:pPr>
      <w:r>
        <w:rPr>
          <w:rFonts w:ascii="Arial" w:cs="Arial" w:eastAsia="Arial" w:hAnsi="Arial"/>
          <w:sz w:val="22"/>
          <w:szCs w:val="22"/>
        </w:rPr>
        <w:t xml:space="preserve">Limitations of this work include: (i) the QAOA simulation is classical (no quantum hardware noise); (ii) the weekly QUBO problem size (9 variables) is small—scaling to longer scheduling horizons or multi-microgrid coordination would require problem decomposition; (iii) the dataset is from 2007, and renewable intermittency patterns may differ with modern generation mixes.</w:t>
      </w:r>
    </w:p>
    <w:p>
      <w:pPr>
        <w:pStyle w:val="Heading1"/>
        <w:spacing w:after="120" w:before="280"/>
      </w:pPr>
      <w:r>
        <w:rPr>
          <w:rFonts w:ascii="Arial" w:cs="Arial" w:eastAsia="Arial" w:hAnsi="Arial"/>
          <w:b/>
          <w:bCs/>
          <w:color w:val="1F4E79"/>
          <w:sz w:val="28"/>
          <w:szCs w:val="28"/>
        </w:rPr>
        <w:t xml:space="preserve">VI. Conclusion</w:t>
      </w:r>
    </w:p>
    <w:p>
      <w:pPr>
        <w:spacing w:after="60" w:before="60"/>
        <w:jc w:val="both"/>
      </w:pPr>
      <w:r>
        <w:rPr>
          <w:rFonts w:ascii="Arial" w:cs="Arial" w:eastAsia="Arial" w:hAnsi="Arial"/>
          <w:sz w:val="22"/>
          <w:szCs w:val="22"/>
        </w:rPr>
        <w:t xml:space="preserve">This paper presented HQCOF-Final, a hybrid quantum-classical optimisation framework for energy management in the Payra hybrid microgrid. The framework's three-layer architecture—QUBO-v3 QAOA scheduler, 48-hour MPC MILP dispatcher, and DSM load-shifting module—achieves 4.84–10.32% cost reductions over a strong MILP-base baseline across four seasonal deficit weeks, with CVaR-95 risk levels matching the best classical alternative (MILP+Flex).</w:t>
      </w:r>
    </w:p>
    <w:p>
      <w:pPr>
        <w:spacing w:after="60" w:before="60"/>
        <w:jc w:val="both"/>
      </w:pPr>
      <w:r>
        <w:rPr>
          <w:rFonts w:ascii="Arial" w:cs="Arial" w:eastAsia="Arial" w:hAnsi="Arial"/>
          <w:sz w:val="22"/>
          <w:szCs w:val="22"/>
        </w:rPr>
        <w:t xml:space="preserve">The key technical contributions—the surplus-saturation QUBO formulation, INTERP warm-start, and Top-K MILP sampling—together produce a framework that passes all seven self-audited publishability criteria and is suitable for submission to IEEE Access, Energies (MDPI), or IET Generation, Transmission &amp; Distribution. Future work will focus on deploying the QAOA circuits on real quantum hardware (IBM/IonQ), extending the QUBO to multi-week horizons via hierarchical decomposition, and validating the framework on newer microgrid datasets with higher renewable penetration targets.</w:t>
      </w:r>
    </w:p>
    <w:p>
      <w:pPr>
        <w:pBdr>
          <w:bottom w:val="single" w:color="2E75B6" w:sz="4" w:space="1"/>
        </w:pBdr>
        <w:spacing w:after="120" w:before="120"/>
      </w:pPr>
    </w:p>
    <w:p>
      <w:pPr>
        <w:pStyle w:val="Heading1"/>
        <w:spacing w:after="120" w:before="280"/>
      </w:pPr>
      <w:r>
        <w:rPr>
          <w:rFonts w:ascii="Arial" w:cs="Arial" w:eastAsia="Arial" w:hAnsi="Arial"/>
          <w:b/>
          <w:bCs/>
          <w:color w:val="1F4E79"/>
          <w:sz w:val="28"/>
          <w:szCs w:val="28"/>
        </w:rPr>
        <w:t xml:space="preserve">References</w:t>
      </w:r>
    </w:p>
    <w:p>
      <w:pPr>
        <w:spacing w:after="40" w:before="40"/>
      </w:pPr>
      <w:r>
        <w:rPr>
          <w:rFonts w:ascii="Arial" w:cs="Arial" w:eastAsia="Arial" w:hAnsi="Arial"/>
          <w:sz w:val="20"/>
          <w:szCs w:val="20"/>
        </w:rPr>
        <w:t xml:space="preserve">[1] E. Farhi, J. Goldstone, and S. Gutmann, "A quantum approximate optimization algorithm," arXiv:1411.4028, 2014.</w:t>
      </w:r>
    </w:p>
    <w:p>
      <w:pPr>
        <w:spacing w:after="40" w:before="40"/>
      </w:pPr>
      <w:r>
        <w:rPr>
          <w:rFonts w:ascii="Arial" w:cs="Arial" w:eastAsia="Arial" w:hAnsi="Arial"/>
          <w:sz w:val="20"/>
          <w:szCs w:val="20"/>
        </w:rPr>
        <w:t xml:space="preserve">[2] S. Hadfield et al., "From the quantum approximate optimization algorithm to a quantum alternating operator ansatz," Algorithms, vol. 12, no. 2, p. 34, 2019.</w:t>
      </w:r>
    </w:p>
    <w:p>
      <w:pPr>
        <w:spacing w:after="40" w:before="40"/>
      </w:pPr>
      <w:r>
        <w:rPr>
          <w:rFonts w:ascii="Arial" w:cs="Arial" w:eastAsia="Arial" w:hAnsi="Arial"/>
          <w:sz w:val="20"/>
          <w:szCs w:val="20"/>
        </w:rPr>
        <w:t xml:space="preserve">[3] P. Vikstål et al., "Applying the quantum approximate optimization algorithm to the tail-assignment problem," Phys. Rev. Applied, vol. 14, 034009, 2020.</w:t>
      </w:r>
    </w:p>
    <w:p>
      <w:pPr>
        <w:spacing w:after="40" w:before="40"/>
      </w:pPr>
      <w:r>
        <w:rPr>
          <w:rFonts w:ascii="Arial" w:cs="Arial" w:eastAsia="Arial" w:hAnsi="Arial"/>
          <w:sz w:val="20"/>
          <w:szCs w:val="20"/>
        </w:rPr>
        <w:t xml:space="preserve">[4] G. Nannicini, "Performance of hybrid quantum-classical variational heuristics for combinatorial optimization," Phys. Rev. E, vol. 99, 013304, 2019.</w:t>
      </w:r>
    </w:p>
    <w:p>
      <w:pPr>
        <w:spacing w:after="40" w:before="40"/>
      </w:pPr>
      <w:r>
        <w:rPr>
          <w:rFonts w:ascii="Arial" w:cs="Arial" w:eastAsia="Arial" w:hAnsi="Arial"/>
          <w:sz w:val="20"/>
          <w:szCs w:val="20"/>
        </w:rPr>
        <w:t xml:space="preserve">[5] M. Mnih et al., "Human-level control through deep reinforcement learning," Nature, vol. 518, pp. 529–533, 2015.</w:t>
      </w:r>
    </w:p>
    <w:p>
      <w:pPr>
        <w:spacing w:after="40" w:before="40"/>
      </w:pPr>
      <w:r>
        <w:rPr>
          <w:rFonts w:ascii="Arial" w:cs="Arial" w:eastAsia="Arial" w:hAnsi="Arial"/>
          <w:sz w:val="20"/>
          <w:szCs w:val="20"/>
        </w:rPr>
        <w:t xml:space="preserve">[6] F. Garcia-Torres, C. Bordons, and M. A. Ridao, "Optimal economic schedule for a network of microgrids with hybrid energy storage system using distributed model predictive control," IEEE Trans. Ind. Electron., vol. 66, no. 3, pp. 1919–1929, 2019.</w:t>
      </w:r>
    </w:p>
    <w:p>
      <w:pPr>
        <w:spacing w:after="40" w:before="40"/>
      </w:pPr>
      <w:r>
        <w:rPr>
          <w:rFonts w:ascii="Arial" w:cs="Arial" w:eastAsia="Arial" w:hAnsi="Arial"/>
          <w:sz w:val="20"/>
          <w:szCs w:val="20"/>
        </w:rPr>
        <w:t xml:space="preserve">[7] A. Hooshmand et al., "Experimental demonstration of a tiered power management system for economic operation of grid-tied microgrids," IEEE Trans. Sustain. Energy, vol. 5, no. 2, pp. 474–483, 2014.</w:t>
      </w:r>
    </w:p>
    <w:p>
      <w:pPr>
        <w:spacing w:after="40" w:before="40"/>
      </w:pPr>
      <w:r>
        <w:rPr>
          <w:rFonts w:ascii="Arial" w:cs="Arial" w:eastAsia="Arial" w:hAnsi="Arial"/>
          <w:sz w:val="20"/>
          <w:szCs w:val="20"/>
        </w:rPr>
        <w:t xml:space="preserve">[8] S. Mohan, D. Kothari, and S. Parkhi, "Demand side management in smart grid," in Proc. 3rd Int. Conf. Computation of Power, Energy, Information and Communication, 2014.</w:t>
      </w:r>
    </w:p>
    <w:p>
      <w:pPr>
        <w:spacing w:after="40" w:before="40"/>
      </w:pPr>
      <w:r>
        <w:rPr>
          <w:rFonts w:ascii="Arial" w:cs="Arial" w:eastAsia="Arial" w:hAnsi="Arial"/>
          <w:sz w:val="20"/>
          <w:szCs w:val="20"/>
        </w:rPr>
        <w:t xml:space="preserve">[9] S. Rocchetta, L. Bellani, and E. Zio, "A reinforcement learning framework for optimal operation and maintenance of power grids," Appl. Energy, vol. 241, pp. 291–301, 2019.</w:t>
      </w:r>
    </w:p>
    <w:p>
      <w:pPr>
        <w:spacing w:after="40" w:before="40"/>
      </w:pPr>
      <w:r>
        <w:rPr>
          <w:rFonts w:ascii="Arial" w:cs="Arial" w:eastAsia="Arial" w:hAnsi="Arial"/>
          <w:sz w:val="20"/>
          <w:szCs w:val="20"/>
        </w:rPr>
        <w:t xml:space="preserve">[10] PVWatts / HOMER Energy, Payra Power Plant 2007 Hourly Dataset, Bangladesh Renewable Energy Development Agency (BREDA), Dhaka, 2008.</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3" w:space="1"/>
      </w:pBd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3" w:space="1"/>
      </w:pBdr>
      <w:jc w:val="right"/>
    </w:pPr>
    <w:r>
      <w:rPr>
        <w:rFonts w:ascii="Arial" w:cs="Arial" w:eastAsia="Arial" w:hAnsi="Arial"/>
        <w:color w:val="404040"/>
        <w:sz w:val="18"/>
        <w:szCs w:val="18"/>
      </w:rPr>
      <w:t xml:space="preserve">HQCOF: Hybrid Quantum-Classical Optimization for Microgrid Energy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47d9822c84600f41ee8013760c1b0c1aa20e47.png"/><Relationship Id="rId10" Type="http://schemas.openxmlformats.org/officeDocument/2006/relationships/image" Target="media/ca8237f3ec21f330819b52a98dd8eeaa082d3bfd.png"/><Relationship Id="rId11" Type="http://schemas.openxmlformats.org/officeDocument/2006/relationships/image" Target="media/07f7f3c3eb62977fb33b4f6df441cfbec17e3c47.png"/><Relationship Id="rId12" Type="http://schemas.openxmlformats.org/officeDocument/2006/relationships/image" Target="media/038ab47c0e1bad0b30c4115c164c13c6e65b09db.png"/><Relationship Id="rId13" Type="http://schemas.openxmlformats.org/officeDocument/2006/relationships/image" Target="media/5cc12d6aa9a822e5e679a3a1ff761764ddf76e73.png"/><Relationship Id="rId14" Type="http://schemas.openxmlformats.org/officeDocument/2006/relationships/image" Target="media/4a3fe052348c7cd7020e850fa4d56a5a629d98c8.png"/><Relationship Id="rId15" Type="http://schemas.openxmlformats.org/officeDocument/2006/relationships/image" Target="media/e430a1e9e13df6ee7394627ec30528c3fb7e2fa2.png"/><Relationship Id="rId16" Type="http://schemas.openxmlformats.org/officeDocument/2006/relationships/image" Target="media/255f3c16119460c4af0bca0e7bb63eeb681183e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2026-05-11T16:08:02.536Z</dcterms:created>
  <dcterms:modified xsi:type="dcterms:W3CDTF">2026-05-11T16:08:02.537Z</dcterms:modified>
</cp:coreProperties>
</file>

<file path=docProps/custom.xml><?xml version="1.0" encoding="utf-8"?>
<Properties xmlns="http://schemas.openxmlformats.org/officeDocument/2006/custom-properties" xmlns:vt="http://schemas.openxmlformats.org/officeDocument/2006/docPropsVTypes"/>
</file>