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6A15" w:rsidRDefault="00D11802">
      <w:pPr>
        <w:pStyle w:val="Title"/>
        <w:jc w:val="center"/>
      </w:pPr>
      <w:r>
        <w:t>R</w:t>
      </w:r>
      <w:r w:rsidR="00607505">
        <w:t xml:space="preserve">OI in LLM’s </w:t>
      </w:r>
    </w:p>
    <w:p w:rsidR="00F96A15" w:rsidRDefault="00D37682">
      <w:pPr>
        <w:jc w:val="center"/>
      </w:pPr>
      <w:r>
        <w:t>Ahmed Hussain Khan</w:t>
      </w:r>
      <w:r>
        <w:br/>
        <w:t>BBA, CMR University</w:t>
      </w:r>
    </w:p>
    <w:p w:rsidR="00F96A15" w:rsidRDefault="00F96A15"/>
    <w:p w:rsidR="00F96A15" w:rsidRDefault="00D37682">
      <w:pPr>
        <w:pStyle w:val="Heading1"/>
      </w:pPr>
      <w:r>
        <w:t>Abstract</w:t>
      </w:r>
    </w:p>
    <w:p w:rsidR="007529C0" w:rsidRPr="00804414" w:rsidRDefault="007529C0" w:rsidP="007529C0">
      <w:r w:rsidRPr="00804414">
        <w:t xml:space="preserve">The Large Language Model (LLMs) market is valued at $5.03 billion in 2025 and projected to reach $13.52 billion by 2029, reflecting a 28% annual growth rate, although encountering a significant ROI problem </w:t>
      </w:r>
      <w:proofErr w:type="gramStart"/>
      <w:r w:rsidRPr="00804414">
        <w:t>This</w:t>
      </w:r>
      <w:proofErr w:type="gramEnd"/>
      <w:r w:rsidRPr="00804414">
        <w:t> paper analyzes whether ongoing investment in LLMs produces sustainable returns revealing significant cost Variance and fundamental limitations that undermine long-term viability.</w:t>
      </w:r>
    </w:p>
    <w:p w:rsidR="007529C0" w:rsidRPr="00804414" w:rsidRDefault="007529C0" w:rsidP="007529C0">
      <w:r w:rsidRPr="00804414">
        <w:t xml:space="preserve">Our cost analysis demonstrates training expense variations across providers: </w:t>
      </w:r>
      <w:proofErr w:type="spellStart"/>
      <w:r w:rsidRPr="00804414">
        <w:t>OpenAI's</w:t>
      </w:r>
      <w:proofErr w:type="spellEnd"/>
      <w:r w:rsidRPr="00804414">
        <w:t xml:space="preserve"> GPT-4 required $63-100 million,  </w:t>
      </w:r>
      <w:proofErr w:type="spellStart"/>
      <w:r w:rsidRPr="00804414">
        <w:t>Anthropic’s</w:t>
      </w:r>
      <w:proofErr w:type="spellEnd"/>
      <w:r w:rsidRPr="00804414">
        <w:t xml:space="preserve"> Claude 3.7 (sonnet) perhaps in the </w:t>
      </w:r>
      <w:r w:rsidRPr="00804414">
        <w:rPr>
          <w:b/>
          <w:bCs/>
        </w:rPr>
        <w:t>$30-50 million</w:t>
      </w:r>
      <w:r w:rsidRPr="00804414">
        <w:t xml:space="preserve"> range while </w:t>
      </w:r>
      <w:proofErr w:type="spellStart"/>
      <w:r w:rsidRPr="00804414">
        <w:t>DeepSeek</w:t>
      </w:r>
      <w:proofErr w:type="spellEnd"/>
      <w:r w:rsidRPr="00804414">
        <w:t xml:space="preserve"> achieved comparable performance for just $6 million—representing a 95% reduction (</w:t>
      </w:r>
      <w:proofErr w:type="spellStart"/>
      <w:r w:rsidRPr="00804414">
        <w:t>DeepSeek</w:t>
      </w:r>
      <w:proofErr w:type="spellEnd"/>
      <w:r w:rsidRPr="00804414">
        <w:t xml:space="preserve"> R1 GPU Only) through efficient architectures and Chinese manufacturing advantages.</w:t>
      </w:r>
    </w:p>
    <w:p w:rsidR="007529C0" w:rsidRPr="00804414" w:rsidRDefault="007529C0" w:rsidP="007529C0">
      <w:r w:rsidRPr="00804414">
        <w:t xml:space="preserve">This Paper covers critical Limitations across all </w:t>
      </w:r>
      <w:proofErr w:type="spellStart"/>
      <w:r w:rsidRPr="00804414">
        <w:t>models.The</w:t>
      </w:r>
      <w:proofErr w:type="spellEnd"/>
      <w:r w:rsidRPr="00804414">
        <w:t xml:space="preserve"> LLM Industry is developing “wrapper</w:t>
      </w:r>
      <w:proofErr w:type="gramStart"/>
      <w:r w:rsidRPr="00804414">
        <w:t>”  architectures</w:t>
      </w:r>
      <w:proofErr w:type="gramEnd"/>
      <w:r w:rsidRPr="00804414">
        <w:t xml:space="preserve"> rather than replace base models.  Simultaneously, Small Language Models, neuro-symbolic systems, and hybrid approaches demonstrate superior cost-effectiveness for specific applications. . The future of AI ROI lies in developing targeted cognitive architectures that address scalability and cost limitations in </w:t>
      </w:r>
      <w:proofErr w:type="gramStart"/>
      <w:r w:rsidRPr="00804414">
        <w:t>Current LLM’s</w:t>
      </w:r>
      <w:proofErr w:type="gramEnd"/>
    </w:p>
    <w:p w:rsidR="00C1357C" w:rsidRPr="009D4F73" w:rsidRDefault="00C1357C" w:rsidP="00C1357C">
      <w:pPr>
        <w:numPr>
          <w:ilvl w:val="0"/>
          <w:numId w:val="20"/>
        </w:numPr>
        <w:tabs>
          <w:tab w:val="left" w:pos="360"/>
        </w:tabs>
        <w:spacing w:after="0" w:line="276" w:lineRule="auto"/>
        <w:ind w:left="0" w:firstLine="0"/>
        <w:jc w:val="center"/>
        <w:rPr>
          <w:rFonts w:ascii="Cambria" w:eastAsia="Cambria" w:hAnsi="Cambria" w:cs="Cambria"/>
          <w:b/>
          <w:spacing w:val="-1"/>
          <w:sz w:val="18"/>
          <w:szCs w:val="18"/>
        </w:rPr>
      </w:pPr>
      <w:r w:rsidRPr="009D4F73">
        <w:rPr>
          <w:rFonts w:ascii="Cambria" w:eastAsia="Cambria" w:hAnsi="Cambria" w:cs="Cambria"/>
          <w:b/>
          <w:spacing w:val="-1"/>
        </w:rPr>
        <w:t>INTRODUCTION</w:t>
      </w:r>
    </w:p>
    <w:p w:rsidR="00C1357C" w:rsidRDefault="00C1357C" w:rsidP="00C1357C">
      <w:pPr>
        <w:pStyle w:val="IEEEParagraph"/>
        <w:spacing w:line="276" w:lineRule="auto"/>
        <w:ind w:left="1080" w:firstLine="0"/>
        <w:rPr>
          <w:rFonts w:ascii="Segoe UI" w:hAnsi="Segoe UI" w:cs="Segoe UI"/>
          <w:spacing w:val="2"/>
        </w:rPr>
      </w:pPr>
    </w:p>
    <w:p w:rsidR="00894AE0" w:rsidRDefault="00C1357C" w:rsidP="00894AE0">
      <w:pPr>
        <w:pStyle w:val="IEEEParagraph"/>
        <w:spacing w:line="276" w:lineRule="auto"/>
        <w:ind w:left="1080" w:firstLine="0"/>
      </w:pPr>
      <w:r>
        <w:rPr>
          <w:rFonts w:ascii="Segoe UI" w:hAnsi="Segoe UI" w:cs="Segoe UI"/>
          <w:spacing w:val="2"/>
        </w:rPr>
        <w:t xml:space="preserve">The artificial intelligence industry presents a compelling paradox: while the Large Language Model market is experiencing </w:t>
      </w:r>
      <w:proofErr w:type="gramStart"/>
      <w:r>
        <w:rPr>
          <w:rFonts w:ascii="Segoe UI" w:hAnsi="Segoe UI" w:cs="Segoe UI"/>
          <w:spacing w:val="2"/>
        </w:rPr>
        <w:t>Rapid</w:t>
      </w:r>
      <w:proofErr w:type="gramEnd"/>
      <w:r>
        <w:rPr>
          <w:rFonts w:ascii="Segoe UI" w:hAnsi="Segoe UI" w:cs="Segoe UI"/>
          <w:spacing w:val="2"/>
        </w:rPr>
        <w:t xml:space="preserve"> growing, reaching $5.03 billion in 2025 with projections of $13.52 billion by 2029, fundamental questions raises about return on investment remain largely unexamined. Despite a remarkable compound annual growth rate of 28-35% and widespread enterprise adoption across sectors including finance, healthcare, and technology, </w:t>
      </w:r>
      <w:r>
        <w:t xml:space="preserve">On the other hand, questions regarding the </w:t>
      </w:r>
      <w:r>
        <w:rPr>
          <w:rStyle w:val="Emphasis"/>
        </w:rPr>
        <w:t>return on investment (ROI)</w:t>
      </w:r>
      <w:r>
        <w:t xml:space="preserve"> remain largely underexplored, raising concerns about the long-term economic sustainability o</w:t>
      </w:r>
      <w:r w:rsidR="00894AE0">
        <w:t>f current LLM-driven strategies</w:t>
      </w:r>
    </w:p>
    <w:p w:rsidR="00C1357C" w:rsidRDefault="00C1357C" w:rsidP="00C1357C">
      <w:pPr>
        <w:pStyle w:val="IEEEParagraph"/>
        <w:spacing w:line="276" w:lineRule="auto"/>
        <w:ind w:left="1080" w:firstLine="0"/>
      </w:pPr>
    </w:p>
    <w:p w:rsidR="00C1357C" w:rsidRDefault="00C1357C" w:rsidP="00C1357C">
      <w:pPr>
        <w:pStyle w:val="IEEEParagraph"/>
        <w:spacing w:line="276" w:lineRule="auto"/>
        <w:ind w:left="1080" w:firstLine="0"/>
      </w:pPr>
    </w:p>
    <w:p w:rsidR="00C1357C" w:rsidRPr="00A569BA" w:rsidRDefault="00C1357C" w:rsidP="00C1357C">
      <w:pPr>
        <w:pStyle w:val="IEEEParagraph"/>
        <w:spacing w:line="276" w:lineRule="auto"/>
        <w:ind w:firstLine="0"/>
        <w:rPr>
          <w:sz w:val="22"/>
          <w:szCs w:val="22"/>
        </w:rPr>
      </w:pPr>
      <w:r>
        <w:rPr>
          <w:rFonts w:ascii="Segoe UI" w:hAnsi="Segoe UI" w:cs="Segoe UI"/>
          <w:spacing w:val="2"/>
        </w:rPr>
        <w:t xml:space="preserve">Current industry analysis Highlights </w:t>
      </w:r>
      <w:proofErr w:type="gramStart"/>
      <w:r>
        <w:rPr>
          <w:rFonts w:ascii="Segoe UI" w:hAnsi="Segoe UI" w:cs="Segoe UI"/>
          <w:spacing w:val="2"/>
        </w:rPr>
        <w:t>a disconnect</w:t>
      </w:r>
      <w:proofErr w:type="gramEnd"/>
      <w:r>
        <w:rPr>
          <w:rFonts w:ascii="Segoe UI" w:hAnsi="Segoe UI" w:cs="Segoe UI"/>
          <w:spacing w:val="2"/>
        </w:rPr>
        <w:t xml:space="preserve"> between individual productivity gains and organizational transformation, with over 95% of organizations failing to realize meaningful ROI from their $30-40 billion investments in Building AI systems. This phenomenon extends beyond simple implementation challenges—it reflects fundamental structural limitations in how LLMs are developed, deployed, and scaled with in enterprise environments. While 88% of enterprises report improved ability to deploy AI at scale, nearly 60% expect less </w:t>
      </w:r>
      <w:proofErr w:type="gramStart"/>
      <w:r>
        <w:rPr>
          <w:rFonts w:ascii="Segoe UI" w:hAnsi="Segoe UI" w:cs="Segoe UI"/>
          <w:spacing w:val="2"/>
        </w:rPr>
        <w:t>or  below</w:t>
      </w:r>
      <w:proofErr w:type="gramEnd"/>
      <w:r>
        <w:rPr>
          <w:rFonts w:ascii="Segoe UI" w:hAnsi="Segoe UI" w:cs="Segoe UI"/>
          <w:spacing w:val="2"/>
        </w:rPr>
        <w:t xml:space="preserve"> than 50% ROI from </w:t>
      </w:r>
      <w:r>
        <w:rPr>
          <w:rFonts w:ascii="Segoe UI" w:hAnsi="Segoe UI" w:cs="Segoe UI"/>
          <w:spacing w:val="2"/>
        </w:rPr>
        <w:lastRenderedPageBreak/>
        <w:t>their machine learning and generative AI initiatives, indicating systemic inefficiencies that transcend individual organizational failures</w:t>
      </w:r>
    </w:p>
    <w:p w:rsidR="00C1357C" w:rsidRDefault="00C1357C" w:rsidP="00C1357C">
      <w:pPr>
        <w:pStyle w:val="IEEEParagraph"/>
        <w:spacing w:line="276" w:lineRule="auto"/>
        <w:ind w:left="1080" w:firstLine="0"/>
      </w:pPr>
    </w:p>
    <w:p w:rsidR="00C1357C" w:rsidRDefault="00C1357C" w:rsidP="00C1357C">
      <w:pPr>
        <w:pStyle w:val="IEEEParagraph"/>
        <w:spacing w:line="276" w:lineRule="auto"/>
        <w:ind w:left="1080" w:firstLine="0"/>
      </w:pPr>
    </w:p>
    <w:p w:rsidR="00C1357C" w:rsidRDefault="00C1357C" w:rsidP="00C1357C">
      <w:pPr>
        <w:pStyle w:val="IEEEParagraph"/>
        <w:spacing w:line="276" w:lineRule="auto"/>
        <w:ind w:left="1080" w:firstLine="0"/>
      </w:pPr>
    </w:p>
    <w:p w:rsidR="00C1357C" w:rsidRDefault="00C1357C" w:rsidP="00C1357C">
      <w:pPr>
        <w:pStyle w:val="IEEEParagraph"/>
        <w:spacing w:line="276" w:lineRule="auto"/>
        <w:ind w:firstLine="0"/>
        <w:rPr>
          <w:rFonts w:ascii="Segoe UI" w:hAnsi="Segoe UI" w:cs="Segoe UI"/>
          <w:spacing w:val="2"/>
        </w:rPr>
      </w:pPr>
      <w:r>
        <w:rPr>
          <w:rFonts w:ascii="Segoe UI" w:hAnsi="Segoe UI" w:cs="Segoe UI"/>
          <w:spacing w:val="2"/>
        </w:rPr>
        <w:t xml:space="preserve">The economic sustainability crisis becomes particularly evident when examining training cost disparities across major providers. </w:t>
      </w:r>
      <w:proofErr w:type="spellStart"/>
      <w:r>
        <w:rPr>
          <w:rFonts w:ascii="Segoe UI" w:hAnsi="Segoe UI" w:cs="Segoe UI"/>
          <w:spacing w:val="2"/>
        </w:rPr>
        <w:t>OpenAI's</w:t>
      </w:r>
      <w:proofErr w:type="spellEnd"/>
      <w:r>
        <w:rPr>
          <w:rFonts w:ascii="Segoe UI" w:hAnsi="Segoe UI" w:cs="Segoe UI"/>
          <w:spacing w:val="2"/>
        </w:rPr>
        <w:t xml:space="preserve"> GPT-4 required investments between $80-100 million for training, while </w:t>
      </w:r>
      <w:proofErr w:type="spellStart"/>
      <w:r>
        <w:rPr>
          <w:rFonts w:ascii="Segoe UI" w:hAnsi="Segoe UI" w:cs="Segoe UI"/>
          <w:spacing w:val="2"/>
        </w:rPr>
        <w:t>Anthropic's</w:t>
      </w:r>
      <w:proofErr w:type="spellEnd"/>
      <w:r>
        <w:rPr>
          <w:rFonts w:ascii="Segoe UI" w:hAnsi="Segoe UI" w:cs="Segoe UI"/>
          <w:spacing w:val="2"/>
        </w:rPr>
        <w:t xml:space="preserve"> Claude 3.7 Sonnet consumed "$30-50 millions" in development costs. In contrast, </w:t>
      </w:r>
      <w:proofErr w:type="spellStart"/>
      <w:r>
        <w:rPr>
          <w:rFonts w:ascii="Segoe UI" w:hAnsi="Segoe UI" w:cs="Segoe UI"/>
          <w:spacing w:val="2"/>
        </w:rPr>
        <w:t>DeepSeek</w:t>
      </w:r>
      <w:proofErr w:type="spellEnd"/>
      <w:r>
        <w:rPr>
          <w:rFonts w:ascii="Segoe UI" w:hAnsi="Segoe UI" w:cs="Segoe UI"/>
          <w:spacing w:val="2"/>
        </w:rPr>
        <w:t xml:space="preserve"> claims to have achieved comparable performance for approximately $6 million, representing a potential 95% cost reduction through efficient architectures and manufacturing advantages. However, disputed reports suggest </w:t>
      </w:r>
      <w:proofErr w:type="spellStart"/>
      <w:r>
        <w:rPr>
          <w:rFonts w:ascii="Segoe UI" w:hAnsi="Segoe UI" w:cs="Segoe UI"/>
          <w:spacing w:val="2"/>
        </w:rPr>
        <w:t>DeepSeek's</w:t>
      </w:r>
      <w:proofErr w:type="spellEnd"/>
      <w:r>
        <w:rPr>
          <w:rFonts w:ascii="Segoe UI" w:hAnsi="Segoe UI" w:cs="Segoe UI"/>
          <w:spacing w:val="2"/>
        </w:rPr>
        <w:t xml:space="preserve"> </w:t>
      </w:r>
      <w:r>
        <w:rPr>
          <w:rStyle w:val="Strong"/>
        </w:rPr>
        <w:t>total investment</w:t>
      </w:r>
      <w:r>
        <w:t xml:space="preserve"> in hardware/infrastructure </w:t>
      </w:r>
      <w:r>
        <w:rPr>
          <w:rStyle w:val="Strong"/>
        </w:rPr>
        <w:t>likely</w:t>
      </w:r>
      <w:r>
        <w:t xml:space="preserve"> exceeds </w:t>
      </w:r>
      <w:r>
        <w:rPr>
          <w:rStyle w:val="Strong"/>
        </w:rPr>
        <w:t>$500 million</w:t>
      </w:r>
      <w:r>
        <w:t>. Some reports say much more (into the billion-dollar zone)</w:t>
      </w:r>
      <w:proofErr w:type="gramStart"/>
      <w:r>
        <w:t>.</w:t>
      </w:r>
      <w:r>
        <w:rPr>
          <w:rFonts w:ascii="Segoe UI" w:hAnsi="Segoe UI" w:cs="Segoe UI"/>
          <w:spacing w:val="2"/>
        </w:rPr>
        <w:t>,</w:t>
      </w:r>
      <w:proofErr w:type="gramEnd"/>
      <w:r>
        <w:rPr>
          <w:rFonts w:ascii="Segoe UI" w:hAnsi="Segoe UI" w:cs="Segoe UI"/>
          <w:spacing w:val="2"/>
        </w:rPr>
        <w:t xml:space="preserve"> highlighting the opacity and inconsistency in cost reporting that further complicates ROI assessment</w:t>
      </w:r>
    </w:p>
    <w:p w:rsidR="00C1357C" w:rsidRDefault="00C1357C" w:rsidP="00C1357C">
      <w:pPr>
        <w:pStyle w:val="IEEEParagraph"/>
        <w:spacing w:line="276" w:lineRule="auto"/>
        <w:ind w:left="1080" w:firstLine="0"/>
      </w:pPr>
    </w:p>
    <w:p w:rsidR="00C1357C" w:rsidRDefault="00C1357C" w:rsidP="00C1357C">
      <w:pPr>
        <w:pStyle w:val="IEEEParagraph"/>
        <w:spacing w:line="276" w:lineRule="auto"/>
        <w:ind w:left="1080" w:firstLine="0"/>
      </w:pPr>
    </w:p>
    <w:p w:rsidR="00C1357C" w:rsidRDefault="00C1357C" w:rsidP="00C1357C">
      <w:pPr>
        <w:pStyle w:val="IEEEParagraph"/>
        <w:spacing w:line="276" w:lineRule="auto"/>
        <w:ind w:firstLine="0"/>
        <w:rPr>
          <w:rFonts w:ascii="Segoe UI" w:hAnsi="Segoe UI" w:cs="Segoe UI"/>
          <w:spacing w:val="2"/>
        </w:rPr>
      </w:pPr>
      <w:r>
        <w:rPr>
          <w:rFonts w:ascii="Segoe UI" w:hAnsi="Segoe UI" w:cs="Segoe UI"/>
          <w:spacing w:val="2"/>
        </w:rPr>
        <w:t xml:space="preserve">Beyond financial considerations, the environmental sustainability of LLM development poses increasingly urgent concerns. The energy consumption required to train a single GPT-3 model equals the annual consumption of 130 US homes, with training consuming nearly 1,300 megawatt-hours of electricity. Projected infrastructure scaling suggests that 1.5 million AI servers operating at full capacity would consume over 85.4 terawatt-hours annually—exceeding the yearly electricity consumption of some small countries. </w:t>
      </w:r>
    </w:p>
    <w:p w:rsidR="00C1357C" w:rsidRDefault="00C1357C" w:rsidP="00C1357C">
      <w:pPr>
        <w:pStyle w:val="IEEEParagraph"/>
        <w:spacing w:line="276" w:lineRule="auto"/>
        <w:ind w:firstLine="0"/>
        <w:rPr>
          <w:rFonts w:ascii="Segoe UI" w:hAnsi="Segoe UI" w:cs="Segoe UI"/>
          <w:spacing w:val="2"/>
        </w:rPr>
      </w:pPr>
    </w:p>
    <w:p w:rsidR="00C1357C" w:rsidRDefault="00C1357C" w:rsidP="00C1357C">
      <w:pPr>
        <w:pStyle w:val="IEEEParagraph"/>
        <w:spacing w:line="276" w:lineRule="auto"/>
        <w:ind w:left="1080" w:firstLine="0"/>
        <w:rPr>
          <w:rFonts w:ascii="Segoe UI" w:hAnsi="Segoe UI" w:cs="Segoe UI"/>
          <w:spacing w:val="2"/>
        </w:rPr>
      </w:pPr>
      <w:r>
        <w:rPr>
          <w:rStyle w:val="Emphasis"/>
        </w:rPr>
        <w:t>IEA)</w:t>
      </w:r>
      <w:r>
        <w:t xml:space="preserve"> estimates that data </w:t>
      </w:r>
      <w:proofErr w:type="spellStart"/>
      <w:r>
        <w:t>centers</w:t>
      </w:r>
      <w:proofErr w:type="spellEnd"/>
      <w:r>
        <w:t xml:space="preserve"> currently consume about </w:t>
      </w:r>
      <w:r>
        <w:rPr>
          <w:rStyle w:val="Strong"/>
        </w:rPr>
        <w:t xml:space="preserve">415 </w:t>
      </w:r>
      <w:proofErr w:type="spellStart"/>
      <w:r>
        <w:rPr>
          <w:rStyle w:val="Strong"/>
        </w:rPr>
        <w:t>TWh</w:t>
      </w:r>
      <w:proofErr w:type="spellEnd"/>
      <w:r>
        <w:t xml:space="preserve"> globally, ~1.5% of global electricity consumption. This is expected to grow; some projections estimate ~945 </w:t>
      </w:r>
      <w:proofErr w:type="spellStart"/>
      <w:r>
        <w:t>TWh</w:t>
      </w:r>
      <w:proofErr w:type="spellEnd"/>
      <w:r>
        <w:t xml:space="preserve"> by 2030 if current trends </w:t>
      </w:r>
      <w:proofErr w:type="spellStart"/>
      <w:r>
        <w:t>continue.</w:t>
      </w:r>
      <w:r>
        <w:rPr>
          <w:rFonts w:ascii="Segoe UI" w:hAnsi="Segoe UI" w:cs="Segoe UI"/>
          <w:spacing w:val="2"/>
        </w:rPr>
        <w:t>The</w:t>
      </w:r>
      <w:proofErr w:type="spellEnd"/>
      <w:r>
        <w:rPr>
          <w:rFonts w:ascii="Segoe UI" w:hAnsi="Segoe UI" w:cs="Segoe UI"/>
          <w:spacing w:val="2"/>
        </w:rPr>
        <w:t xml:space="preserve"> carbon footprint implications are equally substantial, with LLM parameters growing from 100 million to 500 billion reflecting not just increased complexity but exponential environmental costs</w:t>
      </w:r>
    </w:p>
    <w:p w:rsidR="00607505" w:rsidRDefault="00607505" w:rsidP="00C1357C">
      <w:pPr>
        <w:pStyle w:val="IEEEParagraph"/>
        <w:spacing w:line="276" w:lineRule="auto"/>
        <w:ind w:left="1080" w:firstLine="0"/>
      </w:pPr>
    </w:p>
    <w:p w:rsidR="00607505" w:rsidRDefault="00607505" w:rsidP="00C1357C">
      <w:pPr>
        <w:pStyle w:val="IEEEParagraph"/>
        <w:spacing w:line="276" w:lineRule="auto"/>
        <w:ind w:left="1080" w:firstLine="0"/>
      </w:pPr>
    </w:p>
    <w:p w:rsidR="00607505" w:rsidRDefault="00607505" w:rsidP="00C1357C">
      <w:pPr>
        <w:pStyle w:val="IEEEParagraph"/>
        <w:spacing w:line="276" w:lineRule="auto"/>
        <w:ind w:left="1080" w:firstLine="0"/>
      </w:pPr>
    </w:p>
    <w:p w:rsidR="00607505" w:rsidRDefault="00607505" w:rsidP="00607505">
      <w:pPr>
        <w:pStyle w:val="IEEEParagraph"/>
        <w:spacing w:line="276" w:lineRule="auto"/>
        <w:ind w:firstLine="0"/>
        <w:rPr>
          <w:rFonts w:ascii="Segoe UI" w:hAnsi="Segoe UI" w:cs="Segoe UI"/>
          <w:spacing w:val="2"/>
        </w:rPr>
      </w:pPr>
      <w:r>
        <w:rPr>
          <w:rFonts w:ascii="Segoe UI" w:hAnsi="Segoe UI" w:cs="Segoe UI"/>
          <w:spacing w:val="2"/>
        </w:rPr>
        <w:t>This paper addresses the critical gap in ROI analysis for LLM investments by examining cost variations, performance limitations, and emerging alternatives. Through comprehensive cost-benefit analysis, we investigate whether current LLM investment strategies produce sustainable returns and explore how alternative approaches—including Small Language Models, neuro-symbolic systems, and hybrid architectures—might offer superior cost-effectiveness for specific applications.</w:t>
      </w:r>
    </w:p>
    <w:p w:rsidR="00894AE0" w:rsidRDefault="00894AE0" w:rsidP="00607505">
      <w:pPr>
        <w:pStyle w:val="IEEEParagraph"/>
        <w:spacing w:line="276" w:lineRule="auto"/>
        <w:ind w:firstLine="0"/>
        <w:rPr>
          <w:rFonts w:ascii="Segoe UI" w:hAnsi="Segoe UI" w:cs="Segoe UI"/>
          <w:spacing w:val="2"/>
        </w:rPr>
      </w:pPr>
    </w:p>
    <w:p w:rsidR="00894AE0" w:rsidRDefault="00894AE0" w:rsidP="00607505">
      <w:pPr>
        <w:pStyle w:val="IEEEParagraph"/>
        <w:spacing w:line="276" w:lineRule="auto"/>
        <w:ind w:firstLine="0"/>
        <w:rPr>
          <w:rFonts w:ascii="Segoe UI" w:hAnsi="Segoe UI" w:cs="Segoe UI"/>
          <w:spacing w:val="2"/>
        </w:rPr>
      </w:pPr>
    </w:p>
    <w:p w:rsidR="00894AE0" w:rsidRDefault="00894AE0" w:rsidP="00894AE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hAnsi="Segoe UI" w:cs="Segoe UI"/>
          <w:b/>
          <w:bCs/>
          <w:spacing w:val="2"/>
          <w:bdr w:val="single" w:sz="2" w:space="0" w:color="auto" w:frame="1"/>
        </w:rPr>
        <w:t>A. Historical Context &amp; Market Evolution (2020-2025)</w:t>
      </w:r>
    </w:p>
    <w:p w:rsidR="00894AE0" w:rsidRDefault="00894AE0" w:rsidP="00607505">
      <w:pPr>
        <w:pStyle w:val="IEEEParagraph"/>
        <w:spacing w:line="276" w:lineRule="auto"/>
        <w:ind w:firstLine="0"/>
        <w:rPr>
          <w:lang w:val="en-US"/>
        </w:rPr>
      </w:pPr>
    </w:p>
    <w:p w:rsidR="00894AE0" w:rsidRDefault="00894AE0" w:rsidP="00894AE0">
      <w:pPr>
        <w:pStyle w:val="Heading2"/>
        <w:numPr>
          <w:ilvl w:val="0"/>
          <w:numId w:val="0"/>
        </w:numPr>
        <w:pBdr>
          <w:top w:val="single" w:sz="2" w:space="0" w:color="auto"/>
          <w:left w:val="single" w:sz="2" w:space="0" w:color="auto"/>
          <w:bottom w:val="single" w:sz="2" w:space="0" w:color="auto"/>
          <w:right w:val="single" w:sz="2" w:space="0" w:color="auto"/>
        </w:pBdr>
        <w:ind w:left="576"/>
        <w:rPr>
          <w:rFonts w:ascii="Segoe UI" w:hAnsi="Segoe UI" w:cs="Segoe UI"/>
          <w:spacing w:val="2"/>
        </w:rPr>
      </w:pPr>
      <w:r>
        <w:rPr>
          <w:rStyle w:val="Strong"/>
          <w:rFonts w:ascii="Segoe UI" w:hAnsi="Segoe UI" w:cs="Segoe UI"/>
          <w:b/>
          <w:bCs/>
          <w:spacing w:val="2"/>
          <w:bdr w:val="single" w:sz="2" w:space="0" w:color="auto" w:frame="1"/>
        </w:rPr>
        <w:lastRenderedPageBreak/>
        <w:t>The Foundation (June 2020)</w:t>
      </w:r>
    </w:p>
    <w:p w:rsidR="00894AE0" w:rsidRPr="00894AE0" w:rsidRDefault="00894AE0" w:rsidP="00894AE0">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 xml:space="preserve">The commercial release of GPT-3 in June 2020 marked a critical inflection point in the LLM industry, transitioning from academic research to monetizable AI services. Unlike its predecessor GPT-2, </w:t>
      </w:r>
      <w:proofErr w:type="spellStart"/>
      <w:r>
        <w:rPr>
          <w:rFonts w:ascii="Segoe UI" w:hAnsi="Segoe UI" w:cs="Segoe UI"/>
          <w:spacing w:val="2"/>
        </w:rPr>
        <w:t>OpenAI</w:t>
      </w:r>
      <w:proofErr w:type="spellEnd"/>
      <w:r>
        <w:rPr>
          <w:rFonts w:ascii="Segoe UI" w:hAnsi="Segoe UI" w:cs="Segoe UI"/>
          <w:spacing w:val="2"/>
        </w:rPr>
        <w:t xml:space="preserve"> opted for a commercialized API-based approach rather than open-source release, establishing the business model that would define the industry. Microsoft's exclusive licensing agreement with </w:t>
      </w:r>
      <w:proofErr w:type="spellStart"/>
      <w:r>
        <w:rPr>
          <w:rFonts w:ascii="Segoe UI" w:hAnsi="Segoe UI" w:cs="Segoe UI"/>
          <w:spacing w:val="2"/>
        </w:rPr>
        <w:t>OpenAI</w:t>
      </w:r>
      <w:proofErr w:type="spellEnd"/>
      <w:r>
        <w:rPr>
          <w:rFonts w:ascii="Segoe UI" w:hAnsi="Segoe UI" w:cs="Segoe UI"/>
          <w:spacing w:val="2"/>
        </w:rPr>
        <w:t xml:space="preserve"> in September 2020, combined with their $1 billion cloud infrastructure partnership, created the first major commercial LLM ecosystem.</w:t>
      </w:r>
    </w:p>
    <w:p w:rsidR="00894AE0" w:rsidRDefault="00894AE0" w:rsidP="00607505">
      <w:pPr>
        <w:pStyle w:val="IEEEParagraph"/>
        <w:spacing w:line="276" w:lineRule="auto"/>
        <w:ind w:firstLine="0"/>
        <w:rPr>
          <w:rFonts w:ascii="Segoe UI" w:eastAsiaTheme="minorEastAsia" w:hAnsi="Segoe UI" w:cs="Segoe UI"/>
          <w:spacing w:val="2"/>
          <w:sz w:val="22"/>
          <w:szCs w:val="22"/>
          <w:lang w:val="en-US" w:eastAsia="en-US"/>
        </w:rPr>
      </w:pPr>
      <w:r w:rsidRPr="00894AE0">
        <w:rPr>
          <w:rFonts w:ascii="Segoe UI" w:eastAsiaTheme="minorEastAsia" w:hAnsi="Segoe UI" w:cs="Segoe UI"/>
          <w:spacing w:val="2"/>
          <w:sz w:val="22"/>
          <w:szCs w:val="22"/>
          <w:lang w:val="en-US" w:eastAsia="en-US"/>
        </w:rPr>
        <w:t>This commercialization strategy introduced the fundamental </w:t>
      </w:r>
      <w:r w:rsidRPr="00894AE0">
        <w:rPr>
          <w:rFonts w:ascii="Segoe UI" w:eastAsiaTheme="minorEastAsia" w:hAnsi="Segoe UI" w:cs="Segoe UI"/>
          <w:b/>
          <w:bCs/>
          <w:spacing w:val="2"/>
          <w:sz w:val="22"/>
          <w:szCs w:val="22"/>
          <w:bdr w:val="single" w:sz="2" w:space="0" w:color="auto" w:frame="1"/>
          <w:lang w:val="en-US" w:eastAsia="en-US"/>
        </w:rPr>
        <w:t>cost-revenue tension</w:t>
      </w:r>
      <w:r w:rsidRPr="00894AE0">
        <w:rPr>
          <w:rFonts w:ascii="Segoe UI" w:eastAsiaTheme="minorEastAsia" w:hAnsi="Segoe UI" w:cs="Segoe UI"/>
          <w:spacing w:val="2"/>
          <w:sz w:val="22"/>
          <w:szCs w:val="22"/>
          <w:lang w:val="en-US" w:eastAsia="en-US"/>
        </w:rPr>
        <w:t xml:space="preserve"> that underlies your ROI analysis. </w:t>
      </w:r>
      <w:proofErr w:type="spellStart"/>
      <w:r w:rsidRPr="00894AE0">
        <w:rPr>
          <w:rFonts w:ascii="Segoe UI" w:eastAsiaTheme="minorEastAsia" w:hAnsi="Segoe UI" w:cs="Segoe UI"/>
          <w:spacing w:val="2"/>
          <w:sz w:val="22"/>
          <w:szCs w:val="22"/>
          <w:lang w:val="en-US" w:eastAsia="en-US"/>
        </w:rPr>
        <w:t>OpenAI</w:t>
      </w:r>
      <w:proofErr w:type="spellEnd"/>
      <w:r w:rsidRPr="00894AE0">
        <w:rPr>
          <w:rFonts w:ascii="Segoe UI" w:eastAsiaTheme="minorEastAsia" w:hAnsi="Segoe UI" w:cs="Segoe UI"/>
          <w:spacing w:val="2"/>
          <w:sz w:val="22"/>
          <w:szCs w:val="22"/>
          <w:lang w:val="en-US" w:eastAsia="en-US"/>
        </w:rPr>
        <w:t xml:space="preserve"> had to balance massive training costs (estimated at $4.6 million for GPT-3) against API pricing models, while satisfying customers and scaling infrastructure. The </w:t>
      </w:r>
      <w:proofErr w:type="gramStart"/>
      <w:r w:rsidRPr="00894AE0">
        <w:rPr>
          <w:rFonts w:ascii="Segoe UI" w:eastAsiaTheme="minorEastAsia" w:hAnsi="Segoe UI" w:cs="Segoe UI"/>
          <w:spacing w:val="2"/>
          <w:sz w:val="22"/>
          <w:szCs w:val="22"/>
          <w:lang w:val="en-US" w:eastAsia="en-US"/>
        </w:rPr>
        <w:t>175-billion parameter</w:t>
      </w:r>
      <w:proofErr w:type="gramEnd"/>
      <w:r w:rsidRPr="00894AE0">
        <w:rPr>
          <w:rFonts w:ascii="Segoe UI" w:eastAsiaTheme="minorEastAsia" w:hAnsi="Segoe UI" w:cs="Segoe UI"/>
          <w:spacing w:val="2"/>
          <w:sz w:val="22"/>
          <w:szCs w:val="22"/>
          <w:lang w:val="en-US" w:eastAsia="en-US"/>
        </w:rPr>
        <w:t xml:space="preserve"> model required 350GB of storage and demonstrated unprecedented zero-shot learning capabilities, but the economic sustainability remained uncertain.</w:t>
      </w:r>
    </w:p>
    <w:p w:rsidR="00894AE0" w:rsidRDefault="00894AE0" w:rsidP="00894AE0">
      <w:pPr>
        <w:pStyle w:val="Heading2"/>
        <w:numPr>
          <w:ilvl w:val="0"/>
          <w:numId w:val="0"/>
        </w:numPr>
        <w:pBdr>
          <w:top w:val="single" w:sz="2" w:space="0" w:color="auto"/>
          <w:left w:val="single" w:sz="2" w:space="0" w:color="auto"/>
          <w:bottom w:val="single" w:sz="2" w:space="0" w:color="auto"/>
          <w:right w:val="single" w:sz="2" w:space="0" w:color="auto"/>
        </w:pBdr>
        <w:rPr>
          <w:rFonts w:ascii="Segoe UI" w:hAnsi="Segoe UI" w:cs="Segoe UI"/>
          <w:spacing w:val="2"/>
        </w:rPr>
      </w:pPr>
      <w:proofErr w:type="spellStart"/>
      <w:r>
        <w:rPr>
          <w:rStyle w:val="Strong"/>
          <w:rFonts w:ascii="Segoe UI" w:hAnsi="Segoe UI" w:cs="Segoe UI"/>
          <w:b/>
          <w:bCs/>
          <w:spacing w:val="2"/>
          <w:bdr w:val="single" w:sz="2" w:space="0" w:color="auto" w:frame="1"/>
        </w:rPr>
        <w:t>ChatGPT</w:t>
      </w:r>
      <w:proofErr w:type="spellEnd"/>
      <w:r>
        <w:rPr>
          <w:rStyle w:val="Strong"/>
          <w:rFonts w:ascii="Segoe UI" w:hAnsi="Segoe UI" w:cs="Segoe UI"/>
          <w:b/>
          <w:bCs/>
          <w:spacing w:val="2"/>
          <w:bdr w:val="single" w:sz="2" w:space="0" w:color="auto" w:frame="1"/>
        </w:rPr>
        <w:t xml:space="preserve"> Phenomenon: The Investment Surge (November 2022)</w:t>
      </w:r>
    </w:p>
    <w:p w:rsidR="00894AE0" w:rsidRDefault="00894AE0" w:rsidP="00894AE0">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roofErr w:type="spellStart"/>
      <w:r>
        <w:rPr>
          <w:rFonts w:ascii="Segoe UI" w:hAnsi="Segoe UI" w:cs="Segoe UI"/>
          <w:spacing w:val="2"/>
        </w:rPr>
        <w:t>ChatGPT's</w:t>
      </w:r>
      <w:proofErr w:type="spellEnd"/>
      <w:r>
        <w:rPr>
          <w:rFonts w:ascii="Segoe UI" w:hAnsi="Segoe UI" w:cs="Segoe UI"/>
          <w:spacing w:val="2"/>
        </w:rPr>
        <w:t xml:space="preserve"> launch on November 30, 2022, triggered an unprecedented investment surge that fundamentally altered market dynamics. The model achieved 1 million users within one week—a record-breaking adoption rate—and 100 million users within two months, faster than </w:t>
      </w:r>
      <w:proofErr w:type="spellStart"/>
      <w:r>
        <w:rPr>
          <w:rFonts w:ascii="Segoe UI" w:hAnsi="Segoe UI" w:cs="Segoe UI"/>
          <w:spacing w:val="2"/>
        </w:rPr>
        <w:t>TikTok's</w:t>
      </w:r>
      <w:proofErr w:type="spellEnd"/>
      <w:r>
        <w:rPr>
          <w:rFonts w:ascii="Segoe UI" w:hAnsi="Segoe UI" w:cs="Segoe UI"/>
          <w:spacing w:val="2"/>
        </w:rPr>
        <w:t xml:space="preserve"> 9-month trajectory. This explosive growth catalyzed a </w:t>
      </w:r>
      <w:r>
        <w:rPr>
          <w:rStyle w:val="Strong"/>
          <w:rFonts w:ascii="Segoe UI" w:hAnsi="Segoe UI" w:cs="Segoe UI"/>
          <w:spacing w:val="2"/>
          <w:bdr w:val="single" w:sz="2" w:space="0" w:color="auto" w:frame="1"/>
        </w:rPr>
        <w:t>more than fivefold increase</w:t>
      </w:r>
      <w:r>
        <w:rPr>
          <w:rFonts w:ascii="Segoe UI" w:hAnsi="Segoe UI" w:cs="Segoe UI"/>
          <w:spacing w:val="2"/>
        </w:rPr>
        <w:t> in corporate AI discussions during earnings calls</w:t>
      </w:r>
    </w:p>
    <w:p w:rsidR="00894AE0" w:rsidRPr="00894AE0" w:rsidRDefault="00894AE0" w:rsidP="00894AE0">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sidRPr="00894AE0">
        <w:rPr>
          <w:rFonts w:ascii="Segoe UI" w:hAnsi="Segoe UI" w:cs="Segoe UI"/>
          <w:b/>
          <w:bCs/>
          <w:spacing w:val="2"/>
          <w:bdr w:val="single" w:sz="2" w:space="0" w:color="auto" w:frame="1"/>
        </w:rPr>
        <w:t>Market Impact Analysis:</w:t>
      </w:r>
    </w:p>
    <w:p w:rsidR="00894AE0" w:rsidRPr="00894AE0" w:rsidRDefault="00894AE0" w:rsidP="00894AE0">
      <w:pPr>
        <w:pStyle w:val="ListParagraph"/>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r w:rsidRPr="00894AE0">
        <w:rPr>
          <w:rFonts w:ascii="Segoe UI" w:eastAsia="Times New Roman" w:hAnsi="Segoe UI" w:cs="Segoe UI"/>
          <w:b/>
          <w:bCs/>
          <w:spacing w:val="2"/>
          <w:sz w:val="24"/>
          <w:szCs w:val="24"/>
          <w:bdr w:val="single" w:sz="2" w:space="0" w:color="auto" w:frame="1"/>
        </w:rPr>
        <w:t>Stock Market Response</w:t>
      </w:r>
      <w:r w:rsidRPr="00894AE0">
        <w:rPr>
          <w:rFonts w:ascii="Segoe UI" w:eastAsia="Times New Roman" w:hAnsi="Segoe UI" w:cs="Segoe UI"/>
          <w:spacing w:val="2"/>
          <w:sz w:val="24"/>
          <w:szCs w:val="24"/>
        </w:rPr>
        <w:t xml:space="preserve">: The </w:t>
      </w:r>
      <w:proofErr w:type="spellStart"/>
      <w:r w:rsidRPr="00894AE0">
        <w:rPr>
          <w:rFonts w:ascii="Segoe UI" w:eastAsia="Times New Roman" w:hAnsi="Segoe UI" w:cs="Segoe UI"/>
          <w:spacing w:val="2"/>
          <w:sz w:val="24"/>
          <w:szCs w:val="24"/>
        </w:rPr>
        <w:t>ChatGPT</w:t>
      </w:r>
      <w:proofErr w:type="spellEnd"/>
      <w:r w:rsidRPr="00894AE0">
        <w:rPr>
          <w:rFonts w:ascii="Segoe UI" w:eastAsia="Times New Roman" w:hAnsi="Segoe UI" w:cs="Segoe UI"/>
          <w:spacing w:val="2"/>
          <w:sz w:val="24"/>
          <w:szCs w:val="24"/>
        </w:rPr>
        <w:t xml:space="preserve"> launch created significant abnormal returns across competing companies, with cumulative abnormal returns ranging from 1.4% to 61% depending on event window length</w:t>
      </w:r>
    </w:p>
    <w:p w:rsidR="00894AE0" w:rsidRPr="00894AE0" w:rsidRDefault="00894AE0" w:rsidP="00894AE0">
      <w:pPr>
        <w:pStyle w:val="ListParagraph"/>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r w:rsidRPr="00894AE0">
        <w:rPr>
          <w:rFonts w:ascii="Segoe UI" w:eastAsia="Times New Roman" w:hAnsi="Segoe UI" w:cs="Segoe UI"/>
          <w:b/>
          <w:bCs/>
          <w:spacing w:val="2"/>
          <w:sz w:val="24"/>
          <w:szCs w:val="24"/>
          <w:bdr w:val="single" w:sz="2" w:space="0" w:color="auto" w:frame="1"/>
        </w:rPr>
        <w:t>Investment Acceleration</w:t>
      </w:r>
      <w:r w:rsidRPr="00894AE0">
        <w:rPr>
          <w:rFonts w:ascii="Segoe UI" w:eastAsia="Times New Roman" w:hAnsi="Segoe UI" w:cs="Segoe UI"/>
          <w:spacing w:val="2"/>
          <w:sz w:val="24"/>
          <w:szCs w:val="24"/>
        </w:rPr>
        <w:t>: AI investment surged globally, with Goldman Sachs projecting $200 billion in global AI investment by 2025, representing up to 4% of GDP in major economies</w:t>
      </w:r>
    </w:p>
    <w:p w:rsidR="00894AE0" w:rsidRPr="00894AE0" w:rsidRDefault="00894AE0" w:rsidP="00894AE0">
      <w:pPr>
        <w:pStyle w:val="ListParagraph"/>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r w:rsidRPr="00894AE0">
        <w:rPr>
          <w:rFonts w:ascii="Segoe UI" w:eastAsia="Times New Roman" w:hAnsi="Segoe UI" w:cs="Segoe UI"/>
          <w:b/>
          <w:bCs/>
          <w:spacing w:val="2"/>
          <w:sz w:val="24"/>
          <w:szCs w:val="24"/>
          <w:bdr w:val="single" w:sz="2" w:space="0" w:color="auto" w:frame="1"/>
        </w:rPr>
        <w:t>Corporate Behavior Shift</w:t>
      </w:r>
      <w:r w:rsidRPr="00894AE0">
        <w:rPr>
          <w:rFonts w:ascii="Segoe UI" w:eastAsia="Times New Roman" w:hAnsi="Segoe UI" w:cs="Segoe UI"/>
          <w:spacing w:val="2"/>
          <w:sz w:val="24"/>
          <w:szCs w:val="24"/>
        </w:rPr>
        <w:t>: Post-</w:t>
      </w:r>
      <w:proofErr w:type="spellStart"/>
      <w:r w:rsidRPr="00894AE0">
        <w:rPr>
          <w:rFonts w:ascii="Segoe UI" w:eastAsia="Times New Roman" w:hAnsi="Segoe UI" w:cs="Segoe UI"/>
          <w:spacing w:val="2"/>
          <w:sz w:val="24"/>
          <w:szCs w:val="24"/>
        </w:rPr>
        <w:t>ChatGPT</w:t>
      </w:r>
      <w:proofErr w:type="spellEnd"/>
      <w:r w:rsidRPr="00894AE0">
        <w:rPr>
          <w:rFonts w:ascii="Segoe UI" w:eastAsia="Times New Roman" w:hAnsi="Segoe UI" w:cs="Segoe UI"/>
          <w:spacing w:val="2"/>
          <w:sz w:val="24"/>
          <w:szCs w:val="24"/>
        </w:rPr>
        <w:t>, the correlation between positive AI sentiment in earnings calls and actual R&amp;D investment </w:t>
      </w:r>
      <w:r w:rsidRPr="00894AE0">
        <w:rPr>
          <w:rFonts w:ascii="Segoe UI" w:eastAsia="Times New Roman" w:hAnsi="Segoe UI" w:cs="Segoe UI"/>
          <w:b/>
          <w:bCs/>
          <w:spacing w:val="2"/>
          <w:sz w:val="24"/>
          <w:szCs w:val="24"/>
          <w:bdr w:val="single" w:sz="2" w:space="0" w:color="auto" w:frame="1"/>
        </w:rPr>
        <w:t>decreased by 50%</w:t>
      </w:r>
      <w:r w:rsidRPr="00894AE0">
        <w:rPr>
          <w:rFonts w:ascii="Segoe UI" w:eastAsia="Times New Roman" w:hAnsi="Segoe UI" w:cs="Segoe UI"/>
          <w:spacing w:val="2"/>
          <w:sz w:val="24"/>
          <w:szCs w:val="24"/>
        </w:rPr>
        <w:t>, suggesting a disconnect between AI hype and substantive investment</w:t>
      </w:r>
    </w:p>
    <w:p w:rsidR="00894AE0" w:rsidRPr="00894AE0" w:rsidRDefault="00894AE0" w:rsidP="00C1357C">
      <w:pPr>
        <w:pStyle w:val="IEEEParagraph"/>
        <w:spacing w:line="276" w:lineRule="auto"/>
        <w:ind w:left="1080" w:firstLine="0"/>
        <w:rPr>
          <w:lang w:val="en-US"/>
        </w:rPr>
      </w:pPr>
    </w:p>
    <w:p w:rsidR="00F96A15" w:rsidRDefault="00F96A15" w:rsidP="007529C0">
      <w:pPr>
        <w:jc w:val="both"/>
        <w:rPr>
          <w:lang w:val="en-AU"/>
        </w:rPr>
      </w:pPr>
    </w:p>
    <w:p w:rsidR="00894AE0" w:rsidRDefault="00894AE0" w:rsidP="00894AE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hAnsi="Segoe UI" w:cs="Segoe UI"/>
          <w:b/>
          <w:bCs/>
          <w:spacing w:val="2"/>
          <w:bdr w:val="single" w:sz="2" w:space="0" w:color="auto" w:frame="1"/>
        </w:rPr>
        <w:lastRenderedPageBreak/>
        <w:t>Key Milestones and Competitive Responses (2023-2025)</w:t>
      </w:r>
    </w:p>
    <w:p w:rsidR="00894AE0" w:rsidRDefault="00894AE0" w:rsidP="00894AE0">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hAnsi="Segoe UI" w:cs="Segoe UI"/>
          <w:spacing w:val="2"/>
          <w:bdr w:val="single" w:sz="2" w:space="0" w:color="auto" w:frame="1"/>
        </w:rPr>
        <w:t>GPT-4 Release (March 2023)</w:t>
      </w:r>
      <w:r>
        <w:rPr>
          <w:rFonts w:ascii="Segoe UI" w:hAnsi="Segoe UI" w:cs="Segoe UI"/>
          <w:spacing w:val="2"/>
        </w:rPr>
        <w:t xml:space="preserve">: </w:t>
      </w:r>
      <w:proofErr w:type="spellStart"/>
      <w:r>
        <w:rPr>
          <w:rFonts w:ascii="Segoe UI" w:hAnsi="Segoe UI" w:cs="Segoe UI"/>
          <w:spacing w:val="2"/>
        </w:rPr>
        <w:t>OpenAI's</w:t>
      </w:r>
      <w:proofErr w:type="spellEnd"/>
      <w:r>
        <w:rPr>
          <w:rFonts w:ascii="Segoe UI" w:hAnsi="Segoe UI" w:cs="Segoe UI"/>
          <w:spacing w:val="2"/>
        </w:rPr>
        <w:t xml:space="preserve"> GPT-4 launch represented a significant architectural advancement with multimodal capabilities and enhanced reasoning. Training costs were estimated between $63-100 million, demonstrating the exponential cost escalation </w:t>
      </w:r>
      <w:proofErr w:type="gramStart"/>
      <w:r>
        <w:rPr>
          <w:rFonts w:ascii="Segoe UI" w:hAnsi="Segoe UI" w:cs="Segoe UI"/>
          <w:spacing w:val="2"/>
        </w:rPr>
        <w:t>you've</w:t>
      </w:r>
      <w:proofErr w:type="gramEnd"/>
      <w:r>
        <w:rPr>
          <w:rFonts w:ascii="Segoe UI" w:hAnsi="Segoe UI" w:cs="Segoe UI"/>
          <w:spacing w:val="2"/>
        </w:rPr>
        <w:t xml:space="preserve"> identified. The model achieved 90th percentile performance on simulated bar exams, but the cost-per-capability ratio raised sustainability concerns.</w:t>
      </w:r>
    </w:p>
    <w:p w:rsidR="00894AE0" w:rsidRDefault="00894AE0" w:rsidP="00894AE0">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roofErr w:type="spellStart"/>
      <w:r>
        <w:rPr>
          <w:rStyle w:val="Strong"/>
          <w:rFonts w:ascii="Segoe UI" w:hAnsi="Segoe UI" w:cs="Segoe UI"/>
          <w:spacing w:val="2"/>
          <w:bdr w:val="single" w:sz="2" w:space="0" w:color="auto" w:frame="1"/>
        </w:rPr>
        <w:t>Anthropic's</w:t>
      </w:r>
      <w:proofErr w:type="spellEnd"/>
      <w:r>
        <w:rPr>
          <w:rStyle w:val="Strong"/>
          <w:rFonts w:ascii="Segoe UI" w:hAnsi="Segoe UI" w:cs="Segoe UI"/>
          <w:spacing w:val="2"/>
          <w:bdr w:val="single" w:sz="2" w:space="0" w:color="auto" w:frame="1"/>
        </w:rPr>
        <w:t xml:space="preserve"> Claude Entry (March 2023)</w:t>
      </w:r>
      <w:r>
        <w:rPr>
          <w:rFonts w:ascii="Segoe UI" w:hAnsi="Segoe UI" w:cs="Segoe UI"/>
          <w:spacing w:val="2"/>
        </w:rPr>
        <w:t xml:space="preserve">: Founded by former </w:t>
      </w:r>
      <w:proofErr w:type="spellStart"/>
      <w:r>
        <w:rPr>
          <w:rFonts w:ascii="Segoe UI" w:hAnsi="Segoe UI" w:cs="Segoe UI"/>
          <w:spacing w:val="2"/>
        </w:rPr>
        <w:t>OpenAI</w:t>
      </w:r>
      <w:proofErr w:type="spellEnd"/>
      <w:r>
        <w:rPr>
          <w:rFonts w:ascii="Segoe UI" w:hAnsi="Segoe UI" w:cs="Segoe UI"/>
          <w:spacing w:val="2"/>
        </w:rPr>
        <w:t xml:space="preserve"> researchers, Anthropic launched Claude with a focus on safety and constitutional AI. Despite later market entry, Claude achieved $1 billion run-rate by early 2025, growing to $5 billion by August 2025. The company's rapid $183 billion valuation demonstrates both market opportunity and investor confidence in differentiated approaches.</w:t>
      </w:r>
    </w:p>
    <w:p w:rsidR="00894AE0" w:rsidRDefault="00894AE0" w:rsidP="00894AE0">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hAnsi="Segoe UI" w:cs="Segoe UI"/>
          <w:spacing w:val="2"/>
          <w:bdr w:val="single" w:sz="2" w:space="0" w:color="auto" w:frame="1"/>
        </w:rPr>
        <w:t>Google's Gemini Response (December 2023)</w:t>
      </w:r>
      <w:r>
        <w:rPr>
          <w:rFonts w:ascii="Segoe UI" w:hAnsi="Segoe UI" w:cs="Segoe UI"/>
          <w:spacing w:val="2"/>
        </w:rPr>
        <w:t xml:space="preserve">: Google's Gemini launch marked the tech giant's comprehensive response to </w:t>
      </w:r>
      <w:proofErr w:type="spellStart"/>
      <w:r>
        <w:rPr>
          <w:rFonts w:ascii="Segoe UI" w:hAnsi="Segoe UI" w:cs="Segoe UI"/>
          <w:spacing w:val="2"/>
        </w:rPr>
        <w:t>ChatGPT</w:t>
      </w:r>
      <w:proofErr w:type="spellEnd"/>
      <w:r>
        <w:rPr>
          <w:rFonts w:ascii="Segoe UI" w:hAnsi="Segoe UI" w:cs="Segoe UI"/>
          <w:spacing w:val="2"/>
        </w:rPr>
        <w:t>, combining DeepMind and Google Brain resources. The multimodal-first approach and integration with Google's ecosystem represented a different strategic path, though specific training costs remain proprietary.</w:t>
      </w:r>
    </w:p>
    <w:p w:rsidR="0042082E" w:rsidRPr="0042082E" w:rsidRDefault="00894AE0" w:rsidP="0042082E">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hAnsi="Segoe UI" w:cs="Segoe UI"/>
          <w:spacing w:val="2"/>
          <w:bdr w:val="single" w:sz="2" w:space="0" w:color="auto" w:frame="1"/>
        </w:rPr>
        <w:t>Meta's Open-Source Strategy (2023-2025)</w:t>
      </w:r>
      <w:r>
        <w:rPr>
          <w:rFonts w:ascii="Segoe UI" w:hAnsi="Segoe UI" w:cs="Segoe UI"/>
          <w:spacing w:val="2"/>
        </w:rPr>
        <w:t xml:space="preserve">: Meta's </w:t>
      </w:r>
      <w:proofErr w:type="spellStart"/>
      <w:r>
        <w:rPr>
          <w:rFonts w:ascii="Segoe UI" w:hAnsi="Segoe UI" w:cs="Segoe UI"/>
          <w:spacing w:val="2"/>
        </w:rPr>
        <w:t>LLaMA</w:t>
      </w:r>
      <w:proofErr w:type="spellEnd"/>
      <w:r>
        <w:rPr>
          <w:rFonts w:ascii="Segoe UI" w:hAnsi="Segoe UI" w:cs="Segoe UI"/>
          <w:spacing w:val="2"/>
        </w:rPr>
        <w:t xml:space="preserve"> family represented a fundamental challenge to closed-source models, with </w:t>
      </w:r>
      <w:proofErr w:type="spellStart"/>
      <w:r>
        <w:rPr>
          <w:rFonts w:ascii="Segoe UI" w:hAnsi="Segoe UI" w:cs="Segoe UI"/>
          <w:spacing w:val="2"/>
        </w:rPr>
        <w:t>LLaMA</w:t>
      </w:r>
      <w:proofErr w:type="spellEnd"/>
      <w:r>
        <w:rPr>
          <w:rFonts w:ascii="Segoe UI" w:hAnsi="Segoe UI" w:cs="Segoe UI"/>
          <w:spacing w:val="2"/>
        </w:rPr>
        <w:t xml:space="preserve"> 2 (July 2023) providing commercial licensing. By 2025, </w:t>
      </w:r>
      <w:proofErr w:type="spellStart"/>
      <w:r>
        <w:rPr>
          <w:rFonts w:ascii="Segoe UI" w:hAnsi="Segoe UI" w:cs="Segoe UI"/>
          <w:spacing w:val="2"/>
        </w:rPr>
        <w:t>LLaMA</w:t>
      </w:r>
      <w:proofErr w:type="spellEnd"/>
      <w:r>
        <w:rPr>
          <w:rFonts w:ascii="Segoe UI" w:hAnsi="Segoe UI" w:cs="Segoe UI"/>
          <w:spacing w:val="2"/>
        </w:rPr>
        <w:t xml:space="preserve"> models achieved over 650 million downloads, demonstrating the viability of open-source approaches that signif</w:t>
      </w:r>
      <w:r w:rsidR="0042082E">
        <w:rPr>
          <w:rFonts w:ascii="Segoe UI" w:hAnsi="Segoe UI" w:cs="Segoe UI"/>
          <w:spacing w:val="2"/>
        </w:rPr>
        <w:t>icantly reduce deployment costs</w:t>
      </w:r>
    </w:p>
    <w:p w:rsidR="0042082E" w:rsidRDefault="0042082E" w:rsidP="0042082E">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hAnsi="Segoe UI" w:cs="Segoe UI"/>
          <w:b/>
          <w:bCs/>
          <w:spacing w:val="2"/>
          <w:bdr w:val="single" w:sz="2" w:space="0" w:color="auto" w:frame="1"/>
        </w:rPr>
        <w:t>Market Size Evolution and ROI Implications</w:t>
      </w:r>
    </w:p>
    <w:p w:rsidR="0042082E" w:rsidRDefault="0042082E" w:rsidP="0042082E">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hAnsi="Segoe UI" w:cs="Segoe UI"/>
          <w:spacing w:val="2"/>
          <w:bdr w:val="single" w:sz="2" w:space="0" w:color="auto" w:frame="1"/>
        </w:rPr>
        <w:t>Rapid Market Growth</w:t>
      </w:r>
      <w:r>
        <w:rPr>
          <w:rFonts w:ascii="Segoe UI" w:hAnsi="Segoe UI" w:cs="Segoe UI"/>
          <w:spacing w:val="2"/>
        </w:rPr>
        <w:t>:</w:t>
      </w:r>
    </w:p>
    <w:p w:rsidR="0042082E" w:rsidRDefault="0042082E" w:rsidP="0042082E">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
    <w:p w:rsidR="0042082E" w:rsidRDefault="0042082E" w:rsidP="0042082E">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p>
    <w:p w:rsidR="0042082E" w:rsidRDefault="0042082E" w:rsidP="0042082E">
      <w:pPr>
        <w:pStyle w:val="my-2"/>
        <w:numPr>
          <w:ilvl w:val="0"/>
          <w:numId w:val="2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2024: $5.73-8.59 billion globally</w:t>
      </w:r>
    </w:p>
    <w:p w:rsidR="0042082E" w:rsidRDefault="0042082E" w:rsidP="0042082E">
      <w:pPr>
        <w:pStyle w:val="my-2"/>
        <w:numPr>
          <w:ilvl w:val="0"/>
          <w:numId w:val="2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2025: $5.03-15.23 billion (varying by research source)</w:t>
      </w:r>
    </w:p>
    <w:p w:rsidR="0042082E" w:rsidRDefault="0042082E" w:rsidP="0042082E">
      <w:pPr>
        <w:pStyle w:val="my-2"/>
        <w:numPr>
          <w:ilvl w:val="0"/>
          <w:numId w:val="2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2030 Projections: $36.1-94.0 billion</w:t>
      </w:r>
    </w:p>
    <w:p w:rsidR="0042082E" w:rsidRPr="0042082E" w:rsidRDefault="0042082E" w:rsidP="0042082E">
      <w:pPr>
        <w:pStyle w:val="my-2"/>
        <w:numPr>
          <w:ilvl w:val="0"/>
          <w:numId w:val="23"/>
        </w:numPr>
        <w:pBdr>
          <w:top w:val="single" w:sz="2" w:space="0" w:color="auto"/>
          <w:left w:val="single" w:sz="2" w:space="0" w:color="auto"/>
          <w:bottom w:val="single" w:sz="2" w:space="0" w:color="auto"/>
          <w:right w:val="single" w:sz="2" w:space="0" w:color="auto"/>
        </w:pBdr>
        <w:ind w:left="0"/>
        <w:rPr>
          <w:rStyle w:val="Strong"/>
          <w:rFonts w:ascii="Segoe UI" w:hAnsi="Segoe UI" w:cs="Segoe UI"/>
          <w:b w:val="0"/>
          <w:bCs w:val="0"/>
          <w:color w:val="auto"/>
          <w:spacing w:val="2"/>
        </w:rPr>
      </w:pPr>
      <w:r>
        <w:rPr>
          <w:rFonts w:ascii="Segoe UI" w:hAnsi="Segoe UI" w:cs="Segoe UI"/>
          <w:spacing w:val="2"/>
        </w:rPr>
        <w:t>2032-2033 Projections: $67.69 billion to $1.5 trillion</w:t>
      </w:r>
    </w:p>
    <w:p w:rsidR="0042082E" w:rsidRDefault="0042082E" w:rsidP="0042082E">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hAnsi="Segoe UI" w:cs="Segoe UI"/>
          <w:spacing w:val="2"/>
          <w:bdr w:val="single" w:sz="2" w:space="0" w:color="auto" w:frame="1"/>
        </w:rPr>
        <w:lastRenderedPageBreak/>
        <w:t>Regional Growth Disparities</w:t>
      </w:r>
      <w:r>
        <w:rPr>
          <w:rFonts w:ascii="Segoe UI" w:hAnsi="Segoe UI" w:cs="Segoe UI"/>
          <w:spacing w:val="2"/>
        </w:rPr>
        <w:t>:</w:t>
      </w:r>
    </w:p>
    <w:p w:rsidR="0042082E" w:rsidRDefault="0042082E" w:rsidP="0042082E">
      <w:pPr>
        <w:pStyle w:val="my-2"/>
        <w:numPr>
          <w:ilvl w:val="0"/>
          <w:numId w:val="24"/>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Asia-Pacific</w:t>
      </w:r>
      <w:r>
        <w:rPr>
          <w:rFonts w:ascii="Segoe UI" w:hAnsi="Segoe UI" w:cs="Segoe UI"/>
          <w:spacing w:val="2"/>
        </w:rPr>
        <w:t>: Highest growth rate at 89.21% CAGR, projected $94 billion by 2030</w:t>
      </w:r>
    </w:p>
    <w:p w:rsidR="0042082E" w:rsidRDefault="0042082E" w:rsidP="0042082E">
      <w:pPr>
        <w:pStyle w:val="my-2"/>
        <w:numPr>
          <w:ilvl w:val="0"/>
          <w:numId w:val="24"/>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North America</w:t>
      </w:r>
      <w:r>
        <w:rPr>
          <w:rFonts w:ascii="Segoe UI" w:hAnsi="Segoe UI" w:cs="Segoe UI"/>
          <w:spacing w:val="2"/>
        </w:rPr>
        <w:t>: 72.17% CAGR, projected $105.5 billion by 2030</w:t>
      </w:r>
    </w:p>
    <w:p w:rsidR="0042082E" w:rsidRDefault="0042082E" w:rsidP="0042082E">
      <w:pPr>
        <w:pStyle w:val="my-2"/>
        <w:numPr>
          <w:ilvl w:val="0"/>
          <w:numId w:val="24"/>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Europe</w:t>
      </w:r>
      <w:r>
        <w:rPr>
          <w:rFonts w:ascii="Segoe UI" w:hAnsi="Segoe UI" w:cs="Segoe UI"/>
          <w:spacing w:val="2"/>
        </w:rPr>
        <w:t>: 83.30% CAGR, reflecting regulatory adaptation challenges</w:t>
      </w:r>
    </w:p>
    <w:p w:rsidR="0042082E" w:rsidRDefault="0042082E" w:rsidP="0042082E">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hAnsi="Segoe UI" w:cs="Segoe UI"/>
          <w:spacing w:val="2"/>
          <w:bdr w:val="single" w:sz="2" w:space="0" w:color="auto" w:frame="1"/>
        </w:rPr>
        <w:t>Cost-Performance Paradox</w:t>
      </w:r>
      <w:r>
        <w:rPr>
          <w:rFonts w:ascii="Segoe UI" w:hAnsi="Segoe UI" w:cs="Segoe UI"/>
          <w:spacing w:val="2"/>
        </w:rPr>
        <w:t xml:space="preserve">: Despite market growth, </w:t>
      </w:r>
      <w:proofErr w:type="spellStart"/>
      <w:r>
        <w:rPr>
          <w:rFonts w:ascii="Segoe UI" w:hAnsi="Segoe UI" w:cs="Segoe UI"/>
          <w:spacing w:val="2"/>
        </w:rPr>
        <w:t>DeepSeek</w:t>
      </w:r>
      <w:proofErr w:type="spellEnd"/>
      <w:r>
        <w:rPr>
          <w:rFonts w:ascii="Segoe UI" w:hAnsi="Segoe UI" w:cs="Segoe UI"/>
          <w:spacing w:val="2"/>
        </w:rPr>
        <w:t xml:space="preserve"> example ($6 million training cost achieving comparable performance to $80-100 million models) illustrates the </w:t>
      </w:r>
      <w:r>
        <w:rPr>
          <w:rStyle w:val="Strong"/>
          <w:rFonts w:ascii="Segoe UI" w:hAnsi="Segoe UI" w:cs="Segoe UI"/>
          <w:spacing w:val="2"/>
          <w:bdr w:val="single" w:sz="2" w:space="0" w:color="auto" w:frame="1"/>
        </w:rPr>
        <w:t>fundamental efficiency gap</w:t>
      </w:r>
      <w:r>
        <w:rPr>
          <w:rFonts w:ascii="Segoe UI" w:hAnsi="Segoe UI" w:cs="Segoe UI"/>
          <w:spacing w:val="2"/>
        </w:rPr>
        <w:t> driving ROI concerns. This 95% cost reduction through alternative architectures validates research focus on cost-effectiveness rather than pure scale.</w:t>
      </w:r>
    </w:p>
    <w:p w:rsidR="002D3EB1" w:rsidRDefault="002D3EB1" w:rsidP="0042082E">
      <w:pPr>
        <w:pStyle w:val="Heading2"/>
        <w:numPr>
          <w:ilvl w:val="0"/>
          <w:numId w:val="0"/>
        </w:numPr>
        <w:pBdr>
          <w:top w:val="single" w:sz="2" w:space="0" w:color="auto"/>
          <w:left w:val="single" w:sz="2" w:space="0" w:color="auto"/>
          <w:bottom w:val="single" w:sz="2" w:space="0" w:color="auto"/>
          <w:right w:val="single" w:sz="2" w:space="0" w:color="auto"/>
        </w:pBdr>
        <w:rPr>
          <w:rFonts w:asciiTheme="minorHAnsi" w:eastAsiaTheme="minorEastAsia" w:hAnsiTheme="minorHAnsi" w:cstheme="minorBidi"/>
          <w:b w:val="0"/>
          <w:bCs w:val="0"/>
          <w:smallCaps w:val="0"/>
          <w:color w:val="auto"/>
          <w:sz w:val="22"/>
          <w:szCs w:val="22"/>
        </w:rPr>
      </w:pPr>
    </w:p>
    <w:p w:rsidR="0042082E" w:rsidRPr="0042082E" w:rsidRDefault="0042082E" w:rsidP="0042082E">
      <w:pPr>
        <w:pStyle w:val="Heading2"/>
        <w:numPr>
          <w:ilvl w:val="0"/>
          <w:numId w:val="0"/>
        </w:numPr>
        <w:pBdr>
          <w:top w:val="single" w:sz="2" w:space="0" w:color="auto"/>
          <w:left w:val="single" w:sz="2" w:space="0" w:color="auto"/>
          <w:bottom w:val="single" w:sz="2" w:space="0" w:color="auto"/>
          <w:right w:val="single" w:sz="2" w:space="0" w:color="auto"/>
        </w:pBdr>
        <w:rPr>
          <w:rFonts w:ascii="Segoe UI" w:hAnsi="Segoe UI" w:cs="Segoe UI"/>
          <w:spacing w:val="2"/>
          <w:bdr w:val="single" w:sz="2" w:space="0" w:color="auto" w:frame="1"/>
        </w:rPr>
      </w:pPr>
      <w:r>
        <w:rPr>
          <w:rStyle w:val="Strong"/>
          <w:rFonts w:ascii="Segoe UI" w:hAnsi="Segoe UI" w:cs="Segoe UI"/>
          <w:b/>
          <w:bCs/>
          <w:spacing w:val="2"/>
          <w:bdr w:val="single" w:sz="2" w:space="0" w:color="auto" w:frame="1"/>
        </w:rPr>
        <w:t>2.0</w:t>
      </w:r>
      <w:r w:rsidRPr="0042082E">
        <w:rPr>
          <w:rStyle w:val="Strong"/>
          <w:rFonts w:ascii="Segoe UI" w:hAnsi="Segoe UI" w:cs="Segoe UI"/>
          <w:b/>
          <w:bCs/>
          <w:spacing w:val="2"/>
          <w:bdr w:val="single" w:sz="2" w:space="0" w:color="auto" w:frame="1"/>
        </w:rPr>
        <w:t xml:space="preserve"> Cost Structure Literature</w:t>
      </w:r>
    </w:p>
    <w:p w:rsidR="0042082E" w:rsidRDefault="0042082E" w:rsidP="007529C0">
      <w:pPr>
        <w:jc w:val="both"/>
        <w:rPr>
          <w:rFonts w:ascii="Segoe UI" w:hAnsi="Segoe UI" w:cs="Segoe UI"/>
          <w:spacing w:val="2"/>
        </w:rPr>
      </w:pPr>
    </w:p>
    <w:p w:rsidR="00386C85" w:rsidRPr="00386C85" w:rsidRDefault="00386C85" w:rsidP="00386C8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r w:rsidRPr="00386C85">
        <w:rPr>
          <w:rFonts w:ascii="Segoe UI" w:eastAsia="Times New Roman" w:hAnsi="Segoe UI" w:cs="Segoe UI"/>
          <w:b/>
          <w:bCs/>
          <w:spacing w:val="2"/>
          <w:sz w:val="24"/>
          <w:szCs w:val="24"/>
          <w:bdr w:val="single" w:sz="2" w:space="0" w:color="auto" w:frame="1"/>
        </w:rPr>
        <w:t>Seminal Training Cost Papers</w:t>
      </w:r>
    </w:p>
    <w:p w:rsidR="00386C85" w:rsidRDefault="00386C85" w:rsidP="00386C8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r w:rsidRPr="00386C85">
        <w:rPr>
          <w:rFonts w:ascii="Segoe UI" w:eastAsia="Times New Roman" w:hAnsi="Segoe UI" w:cs="Segoe UI"/>
          <w:spacing w:val="2"/>
          <w:sz w:val="24"/>
          <w:szCs w:val="24"/>
        </w:rPr>
        <w:t>The </w:t>
      </w:r>
      <w:r w:rsidRPr="00386C85">
        <w:rPr>
          <w:rFonts w:ascii="Segoe UI" w:eastAsia="Times New Roman" w:hAnsi="Segoe UI" w:cs="Segoe UI"/>
          <w:b/>
          <w:bCs/>
          <w:spacing w:val="2"/>
          <w:sz w:val="24"/>
          <w:szCs w:val="24"/>
          <w:bdr w:val="single" w:sz="2" w:space="0" w:color="auto" w:frame="1"/>
        </w:rPr>
        <w:t>Hoffmann et al. (2022) "Training Compute-Optimal Large Language Models"</w:t>
      </w:r>
      <w:r w:rsidRPr="00386C85">
        <w:rPr>
          <w:rFonts w:ascii="Segoe UI" w:eastAsia="Times New Roman" w:hAnsi="Segoe UI" w:cs="Segoe UI"/>
          <w:spacing w:val="2"/>
          <w:sz w:val="24"/>
          <w:szCs w:val="24"/>
        </w:rPr>
        <w:t xml:space="preserve"> (also known as the Chinchilla paper) remains foundational to your cost analysis. </w:t>
      </w:r>
    </w:p>
    <w:p w:rsidR="0042082E" w:rsidRDefault="00386C85" w:rsidP="002153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r w:rsidRPr="00386C85">
        <w:rPr>
          <w:rFonts w:ascii="Segoe UI" w:eastAsia="Times New Roman" w:hAnsi="Segoe UI" w:cs="Segoe UI"/>
          <w:spacing w:val="2"/>
          <w:sz w:val="24"/>
          <w:szCs w:val="24"/>
        </w:rPr>
        <w:t>This DeepMind research established crucial scaling laws showing that for optimal compute utilization, model size and training tokens should be scaled equally - a principle that directly challenges th</w:t>
      </w:r>
      <w:r w:rsidR="00215300">
        <w:rPr>
          <w:rFonts w:ascii="Segoe UI" w:eastAsia="Times New Roman" w:hAnsi="Segoe UI" w:cs="Segoe UI"/>
          <w:spacing w:val="2"/>
          <w:sz w:val="24"/>
          <w:szCs w:val="24"/>
        </w:rPr>
        <w:t>e cost-efficiency assumptions</w:t>
      </w:r>
      <w:r w:rsidRPr="00386C85">
        <w:rPr>
          <w:rFonts w:ascii="Segoe UI" w:eastAsia="Times New Roman" w:hAnsi="Segoe UI" w:cs="Segoe UI"/>
          <w:spacing w:val="2"/>
          <w:sz w:val="24"/>
          <w:szCs w:val="24"/>
        </w:rPr>
        <w:t>. The study found that current LLMs are "significantly undertrained" and</w:t>
      </w:r>
      <w:r w:rsidR="00215300">
        <w:rPr>
          <w:rFonts w:ascii="Segoe UI" w:eastAsia="Times New Roman" w:hAnsi="Segoe UI" w:cs="Segoe UI"/>
          <w:spacing w:val="2"/>
          <w:sz w:val="24"/>
          <w:szCs w:val="24"/>
        </w:rPr>
        <w:t xml:space="preserve"> </w:t>
      </w:r>
      <w:r w:rsidR="00215300">
        <w:rPr>
          <w:rFonts w:ascii="Segoe UI" w:hAnsi="Segoe UI" w:cs="Segoe UI"/>
          <w:spacing w:val="2"/>
        </w:rPr>
        <w:t>"far too large for their compute budget"</w:t>
      </w:r>
      <w:r w:rsidRPr="00386C85">
        <w:rPr>
          <w:rFonts w:ascii="Segoe UI" w:eastAsia="Times New Roman" w:hAnsi="Segoe UI" w:cs="Segoe UI"/>
          <w:spacing w:val="2"/>
          <w:sz w:val="24"/>
          <w:szCs w:val="24"/>
        </w:rPr>
        <w:t>.</w:t>
      </w:r>
    </w:p>
    <w:p w:rsidR="00BC34F9" w:rsidRDefault="00215300" w:rsidP="00BC34F9">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rPr>
      </w:pPr>
      <w:r w:rsidRPr="00215300">
        <w:rPr>
          <w:rFonts w:ascii="Segoe UI" w:eastAsia="Times New Roman" w:hAnsi="Segoe UI" w:cs="Segoe UI"/>
          <w:b/>
          <w:bCs/>
          <w:spacing w:val="2"/>
          <w:sz w:val="24"/>
          <w:szCs w:val="24"/>
          <w:bdr w:val="single" w:sz="2" w:space="0" w:color="auto" w:frame="1"/>
        </w:rPr>
        <w:t>Equal Scaling Principle</w:t>
      </w:r>
      <w:r w:rsidRPr="00215300">
        <w:rPr>
          <w:rFonts w:ascii="Segoe UI" w:eastAsia="Times New Roman" w:hAnsi="Segoe UI" w:cs="Segoe UI"/>
          <w:spacing w:val="2"/>
          <w:sz w:val="24"/>
          <w:szCs w:val="24"/>
        </w:rPr>
        <w:t>: For every doubling of model size, training tokens should also be doubled—contradicting the industry practice of fixed 300-billion token datasets</w:t>
      </w:r>
    </w:p>
    <w:p w:rsidR="00BC34F9" w:rsidRPr="00BC34F9" w:rsidRDefault="00BC34F9" w:rsidP="00BC34F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p>
    <w:p w:rsidR="00BC34F9" w:rsidRPr="00BC34F9" w:rsidRDefault="00BC34F9" w:rsidP="00BC34F9">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r w:rsidRPr="00BC34F9">
        <w:rPr>
          <w:rFonts w:ascii="Segoe UI" w:eastAsia="Times New Roman" w:hAnsi="Segoe UI" w:cs="Segoe UI"/>
          <w:b/>
          <w:bCs/>
          <w:spacing w:val="2"/>
          <w:sz w:val="24"/>
          <w:szCs w:val="24"/>
          <w:bdr w:val="single" w:sz="2" w:space="0" w:color="auto" w:frame="1"/>
        </w:rPr>
        <w:t>Chinchilla's Breakthrough</w:t>
      </w:r>
      <w:r w:rsidRPr="00BC34F9">
        <w:rPr>
          <w:rFonts w:ascii="Segoe UI" w:eastAsia="Times New Roman" w:hAnsi="Segoe UI" w:cs="Segoe UI"/>
          <w:spacing w:val="2"/>
          <w:sz w:val="24"/>
          <w:szCs w:val="24"/>
        </w:rPr>
        <w:t>: A 70-billion parameter model (Chinchilla) trained on 4x more data outperformed 280-billion parameter Gopher using identical compute budgets</w:t>
      </w:r>
    </w:p>
    <w:p w:rsidR="00BC34F9" w:rsidRDefault="00BC34F9" w:rsidP="00BC34F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p>
    <w:p w:rsidR="00BC34F9" w:rsidRPr="00BC34F9" w:rsidRDefault="00BC34F9" w:rsidP="00BC34F9">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r w:rsidRPr="00BC34F9">
        <w:rPr>
          <w:rFonts w:ascii="Segoe UI" w:eastAsia="Times New Roman" w:hAnsi="Segoe UI" w:cs="Segoe UI"/>
          <w:b/>
          <w:bCs/>
          <w:spacing w:val="2"/>
          <w:sz w:val="24"/>
          <w:szCs w:val="24"/>
          <w:bdr w:val="single" w:sz="2" w:space="0" w:color="auto" w:frame="1"/>
        </w:rPr>
        <w:t>Cost-Performance Optimization</w:t>
      </w:r>
      <w:r w:rsidRPr="00BC34F9">
        <w:rPr>
          <w:rFonts w:ascii="Segoe UI" w:eastAsia="Times New Roman" w:hAnsi="Segoe UI" w:cs="Segoe UI"/>
          <w:spacing w:val="2"/>
          <w:sz w:val="24"/>
          <w:szCs w:val="24"/>
        </w:rPr>
        <w:t>: The study trained over 400 models ranging from 70 million to 16 billion parameters, demonstrating systematic approaches to cost optimization</w:t>
      </w:r>
    </w:p>
    <w:p w:rsidR="00BC34F9" w:rsidRPr="00215300" w:rsidRDefault="00BC34F9" w:rsidP="00215300">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rPr>
      </w:pPr>
    </w:p>
    <w:p w:rsidR="00215300" w:rsidRDefault="00BC34F9" w:rsidP="002153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proofErr w:type="gramStart"/>
      <w:r>
        <w:rPr>
          <w:rFonts w:ascii="Segoe UI" w:hAnsi="Segoe UI" w:cs="Segoe UI"/>
          <w:spacing w:val="2"/>
        </w:rPr>
        <w:t>a</w:t>
      </w:r>
      <w:r w:rsidR="00215300" w:rsidRPr="00215300">
        <w:rPr>
          <w:rFonts w:ascii="Segoe UI" w:hAnsi="Segoe UI" w:cs="Segoe UI"/>
          <w:spacing w:val="2"/>
        </w:rPr>
        <w:t>chieving</w:t>
      </w:r>
      <w:proofErr w:type="gramEnd"/>
      <w:r w:rsidR="00215300" w:rsidRPr="00215300">
        <w:rPr>
          <w:rFonts w:ascii="Segoe UI" w:hAnsi="Segoe UI" w:cs="Segoe UI"/>
          <w:spacing w:val="2"/>
        </w:rPr>
        <w:t xml:space="preserve"> comparable performance through </w:t>
      </w:r>
      <w:r w:rsidR="00215300" w:rsidRPr="00215300">
        <w:rPr>
          <w:rFonts w:ascii="Segoe UI" w:hAnsi="Segoe UI" w:cs="Segoe UI"/>
          <w:b/>
          <w:bCs/>
          <w:spacing w:val="2"/>
          <w:bdr w:val="single" w:sz="2" w:space="0" w:color="auto" w:frame="1"/>
        </w:rPr>
        <w:t>architectural efficiency rather than pure scale</w:t>
      </w:r>
      <w:r w:rsidR="00215300" w:rsidRPr="00215300">
        <w:rPr>
          <w:rFonts w:ascii="Segoe UI" w:hAnsi="Segoe UI" w:cs="Segoe UI"/>
          <w:spacing w:val="2"/>
        </w:rPr>
        <w:t>. Hoffmann's work shows that optimal resource allocation can achieve superior results without exponential cost increases, supporting your central ROI argument</w:t>
      </w:r>
    </w:p>
    <w:p w:rsidR="00215300" w:rsidRDefault="00215300" w:rsidP="002153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p>
    <w:p w:rsidR="00215300" w:rsidRPr="00215300" w:rsidRDefault="00215300" w:rsidP="002153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p>
    <w:p w:rsidR="00215300" w:rsidRDefault="00215300" w:rsidP="00215300">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hAnsi="Segoe UI" w:cs="Segoe UI"/>
          <w:b/>
          <w:bCs/>
          <w:spacing w:val="2"/>
          <w:bdr w:val="single" w:sz="2" w:space="0" w:color="auto" w:frame="1"/>
        </w:rPr>
        <w:t>Stanford AI Index Reports: Exponential Cost Escalation (2022-2024)</w:t>
      </w:r>
    </w:p>
    <w:p w:rsidR="00215300" w:rsidRDefault="00215300" w:rsidP="00215300">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The Stanford AI Index provides the most comprehensive longitudinal analysis of LLM training costs, documenting the </w:t>
      </w:r>
      <w:r>
        <w:rPr>
          <w:rStyle w:val="Strong"/>
          <w:rFonts w:ascii="Segoe UI" w:hAnsi="Segoe UI" w:cs="Segoe UI"/>
          <w:spacing w:val="2"/>
          <w:bdr w:val="single" w:sz="2" w:space="0" w:color="auto" w:frame="1"/>
        </w:rPr>
        <w:t>unsustainable trajectory</w:t>
      </w:r>
      <w:r>
        <w:rPr>
          <w:rFonts w:ascii="Segoe UI" w:hAnsi="Segoe UI" w:cs="Segoe UI"/>
          <w:spacing w:val="2"/>
        </w:rPr>
        <w:t> that underlies your ROI concerns.</w:t>
      </w:r>
    </w:p>
    <w:p w:rsidR="00215300" w:rsidRDefault="00215300" w:rsidP="00215300">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hAnsi="Segoe UI" w:cs="Segoe UI"/>
          <w:spacing w:val="2"/>
          <w:bdr w:val="single" w:sz="2" w:space="0" w:color="auto" w:frame="1"/>
        </w:rPr>
        <w:t>2024 AI Index Findings</w:t>
      </w:r>
      <w:r>
        <w:rPr>
          <w:rFonts w:ascii="Segoe UI" w:hAnsi="Segoe UI" w:cs="Segoe UI"/>
          <w:spacing w:val="2"/>
        </w:rPr>
        <w:t>:</w:t>
      </w:r>
    </w:p>
    <w:p w:rsidR="00215300" w:rsidRDefault="00215300" w:rsidP="00215300">
      <w:pPr>
        <w:pStyle w:val="my-2"/>
        <w:numPr>
          <w:ilvl w:val="0"/>
          <w:numId w:val="2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GPT-4 Training Cost</w:t>
      </w:r>
      <w:r>
        <w:rPr>
          <w:rFonts w:ascii="Segoe UI" w:hAnsi="Segoe UI" w:cs="Segoe UI"/>
          <w:spacing w:val="2"/>
        </w:rPr>
        <w:t>: $78 million (estimated compute costs)</w:t>
      </w:r>
    </w:p>
    <w:p w:rsidR="00215300" w:rsidRDefault="00215300" w:rsidP="00215300">
      <w:pPr>
        <w:pStyle w:val="my-2"/>
        <w:numPr>
          <w:ilvl w:val="0"/>
          <w:numId w:val="2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Google Gemini Ultra</w:t>
      </w:r>
      <w:r>
        <w:rPr>
          <w:rFonts w:ascii="Segoe UI" w:hAnsi="Segoe UI" w:cs="Segoe UI"/>
          <w:spacing w:val="2"/>
        </w:rPr>
        <w:t>: $191 million (2.4x higher than GPT-4)</w:t>
      </w:r>
    </w:p>
    <w:p w:rsidR="00215300" w:rsidRDefault="00215300" w:rsidP="00215300">
      <w:pPr>
        <w:pStyle w:val="my-2"/>
        <w:numPr>
          <w:ilvl w:val="0"/>
          <w:numId w:val="2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Historical Trajectory</w:t>
      </w:r>
      <w:r>
        <w:rPr>
          <w:rFonts w:ascii="Segoe UI" w:hAnsi="Segoe UI" w:cs="Segoe UI"/>
          <w:spacing w:val="2"/>
        </w:rPr>
        <w:t>: From $900 (2017 Transformer) to $191 million (2023 Gemini Ultra)—a </w:t>
      </w:r>
      <w:r>
        <w:rPr>
          <w:rStyle w:val="Strong"/>
          <w:rFonts w:ascii="Segoe UI" w:hAnsi="Segoe UI" w:cs="Segoe UI"/>
          <w:spacing w:val="2"/>
          <w:bdr w:val="single" w:sz="2" w:space="0" w:color="auto" w:frame="1"/>
        </w:rPr>
        <w:t>212,000x increase</w:t>
      </w:r>
      <w:r>
        <w:rPr>
          <w:rFonts w:ascii="Segoe UI" w:hAnsi="Segoe UI" w:cs="Segoe UI"/>
          <w:spacing w:val="2"/>
        </w:rPr>
        <w:t> in six years</w:t>
      </w:r>
    </w:p>
    <w:p w:rsidR="00215300" w:rsidRDefault="00215300" w:rsidP="007529C0">
      <w:pPr>
        <w:jc w:val="both"/>
      </w:pPr>
    </w:p>
    <w:p w:rsidR="00215300" w:rsidRDefault="00215300" w:rsidP="007529C0">
      <w:pPr>
        <w:jc w:val="both"/>
      </w:pPr>
    </w:p>
    <w:p w:rsidR="00215300" w:rsidRPr="00215300" w:rsidRDefault="00215300" w:rsidP="002153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r w:rsidRPr="00215300">
        <w:rPr>
          <w:rFonts w:ascii="Segoe UI" w:eastAsia="Times New Roman" w:hAnsi="Segoe UI" w:cs="Segoe UI"/>
          <w:b/>
          <w:bCs/>
          <w:spacing w:val="2"/>
          <w:sz w:val="24"/>
          <w:szCs w:val="24"/>
          <w:bdr w:val="single" w:sz="2" w:space="0" w:color="auto" w:frame="1"/>
        </w:rPr>
        <w:t>Core Scaling Relationships</w:t>
      </w:r>
      <w:r w:rsidRPr="00215300">
        <w:rPr>
          <w:rFonts w:ascii="Segoe UI" w:eastAsia="Times New Roman" w:hAnsi="Segoe UI" w:cs="Segoe UI"/>
          <w:spacing w:val="2"/>
          <w:sz w:val="24"/>
          <w:szCs w:val="24"/>
        </w:rPr>
        <w:t>:</w:t>
      </w:r>
    </w:p>
    <w:p w:rsidR="00215300" w:rsidRPr="00215300" w:rsidRDefault="00215300" w:rsidP="00215300">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rPr>
      </w:pPr>
      <w:r w:rsidRPr="00215300">
        <w:rPr>
          <w:rFonts w:ascii="Segoe UI" w:eastAsia="Times New Roman" w:hAnsi="Segoe UI" w:cs="Segoe UI"/>
          <w:b/>
          <w:bCs/>
          <w:spacing w:val="2"/>
          <w:sz w:val="24"/>
          <w:szCs w:val="24"/>
          <w:bdr w:val="single" w:sz="2" w:space="0" w:color="auto" w:frame="1"/>
        </w:rPr>
        <w:t>Power-Law Dependencies</w:t>
      </w:r>
      <w:r w:rsidRPr="00215300">
        <w:rPr>
          <w:rFonts w:ascii="Segoe UI" w:eastAsia="Times New Roman" w:hAnsi="Segoe UI" w:cs="Segoe UI"/>
          <w:spacing w:val="2"/>
          <w:sz w:val="24"/>
          <w:szCs w:val="24"/>
        </w:rPr>
        <w:t>: Model performance scales as power-laws with model size, dataset size, and compute budget across </w:t>
      </w:r>
      <w:r w:rsidRPr="00215300">
        <w:rPr>
          <w:rFonts w:ascii="Segoe UI" w:eastAsia="Times New Roman" w:hAnsi="Segoe UI" w:cs="Segoe UI"/>
          <w:b/>
          <w:bCs/>
          <w:spacing w:val="2"/>
          <w:sz w:val="24"/>
          <w:szCs w:val="24"/>
          <w:bdr w:val="single" w:sz="2" w:space="0" w:color="auto" w:frame="1"/>
        </w:rPr>
        <w:t>seven orders of magnitude</w:t>
      </w:r>
    </w:p>
    <w:p w:rsidR="00215300" w:rsidRPr="00215300" w:rsidRDefault="00215300" w:rsidP="00215300">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rPr>
      </w:pPr>
      <w:r w:rsidRPr="00215300">
        <w:rPr>
          <w:rFonts w:ascii="Segoe UI" w:eastAsia="Times New Roman" w:hAnsi="Segoe UI" w:cs="Segoe UI"/>
          <w:b/>
          <w:bCs/>
          <w:spacing w:val="2"/>
          <w:sz w:val="24"/>
          <w:szCs w:val="24"/>
          <w:bdr w:val="single" w:sz="2" w:space="0" w:color="auto" w:frame="1"/>
        </w:rPr>
        <w:t>Compute-Optimal Training</w:t>
      </w:r>
      <w:r w:rsidRPr="00215300">
        <w:rPr>
          <w:rFonts w:ascii="Segoe UI" w:eastAsia="Times New Roman" w:hAnsi="Segoe UI" w:cs="Segoe UI"/>
          <w:spacing w:val="2"/>
          <w:sz w:val="24"/>
          <w:szCs w:val="24"/>
        </w:rPr>
        <w:t>: Large models should be trained on "relatively modest amounts of da</w:t>
      </w:r>
      <w:bookmarkStart w:id="0" w:name="_GoBack"/>
      <w:bookmarkEnd w:id="0"/>
      <w:r w:rsidRPr="00215300">
        <w:rPr>
          <w:rFonts w:ascii="Segoe UI" w:eastAsia="Times New Roman" w:hAnsi="Segoe UI" w:cs="Segoe UI"/>
          <w:spacing w:val="2"/>
          <w:sz w:val="24"/>
          <w:szCs w:val="24"/>
        </w:rPr>
        <w:t>ta and stopped significantly before convergence"</w:t>
      </w:r>
    </w:p>
    <w:p w:rsidR="00215300" w:rsidRPr="00215300" w:rsidRDefault="00215300" w:rsidP="00215300">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rPr>
      </w:pPr>
      <w:r w:rsidRPr="00215300">
        <w:rPr>
          <w:rFonts w:ascii="Segoe UI" w:eastAsia="Times New Roman" w:hAnsi="Segoe UI" w:cs="Segoe UI"/>
          <w:b/>
          <w:bCs/>
          <w:spacing w:val="2"/>
          <w:sz w:val="24"/>
          <w:szCs w:val="24"/>
          <w:bdr w:val="single" w:sz="2" w:space="0" w:color="auto" w:frame="1"/>
        </w:rPr>
        <w:lastRenderedPageBreak/>
        <w:t>Sample Efficiency</w:t>
      </w:r>
      <w:r w:rsidRPr="00215300">
        <w:rPr>
          <w:rFonts w:ascii="Segoe UI" w:eastAsia="Times New Roman" w:hAnsi="Segoe UI" w:cs="Segoe UI"/>
          <w:spacing w:val="2"/>
          <w:sz w:val="24"/>
          <w:szCs w:val="24"/>
        </w:rPr>
        <w:t>: Larger models are "significantly more sample-efficient" but require exponentially more resources</w:t>
      </w:r>
    </w:p>
    <w:p w:rsidR="00215300" w:rsidRPr="00215300" w:rsidRDefault="00215300" w:rsidP="002153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rPr>
      </w:pPr>
      <w:r w:rsidRPr="00215300">
        <w:rPr>
          <w:rFonts w:ascii="Segoe UI" w:eastAsia="Times New Roman" w:hAnsi="Segoe UI" w:cs="Segoe UI"/>
          <w:b/>
          <w:bCs/>
          <w:spacing w:val="2"/>
          <w:sz w:val="24"/>
          <w:szCs w:val="24"/>
          <w:bdr w:val="single" w:sz="2" w:space="0" w:color="auto" w:frame="1"/>
        </w:rPr>
        <w:t>Economic Implications for ROI</w:t>
      </w:r>
      <w:r w:rsidRPr="00215300">
        <w:rPr>
          <w:rFonts w:ascii="Segoe UI" w:eastAsia="Times New Roman" w:hAnsi="Segoe UI" w:cs="Segoe UI"/>
          <w:spacing w:val="2"/>
          <w:sz w:val="24"/>
          <w:szCs w:val="24"/>
        </w:rPr>
        <w:t>:</w:t>
      </w:r>
    </w:p>
    <w:p w:rsidR="00215300" w:rsidRPr="00215300" w:rsidRDefault="00215300" w:rsidP="00215300">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rPr>
      </w:pPr>
      <w:r w:rsidRPr="00215300">
        <w:rPr>
          <w:rFonts w:ascii="Segoe UI" w:eastAsia="Times New Roman" w:hAnsi="Segoe UI" w:cs="Segoe UI"/>
          <w:b/>
          <w:bCs/>
          <w:spacing w:val="2"/>
          <w:sz w:val="24"/>
          <w:szCs w:val="24"/>
          <w:bdr w:val="single" w:sz="2" w:space="0" w:color="auto" w:frame="1"/>
        </w:rPr>
        <w:t>Predictable Costs</w:t>
      </w:r>
      <w:r w:rsidRPr="00215300">
        <w:rPr>
          <w:rFonts w:ascii="Segoe UI" w:eastAsia="Times New Roman" w:hAnsi="Segoe UI" w:cs="Segoe UI"/>
          <w:spacing w:val="2"/>
          <w:sz w:val="24"/>
          <w:szCs w:val="24"/>
        </w:rPr>
        <w:t>: Scaling laws enabled prediction of training costs but revealed exponential resource requirements</w:t>
      </w:r>
    </w:p>
    <w:p w:rsidR="00215300" w:rsidRPr="00215300" w:rsidRDefault="00215300" w:rsidP="00215300">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rPr>
      </w:pPr>
      <w:r w:rsidRPr="00215300">
        <w:rPr>
          <w:rFonts w:ascii="Segoe UI" w:eastAsia="Times New Roman" w:hAnsi="Segoe UI" w:cs="Segoe UI"/>
          <w:b/>
          <w:bCs/>
          <w:spacing w:val="2"/>
          <w:sz w:val="24"/>
          <w:szCs w:val="24"/>
          <w:bdr w:val="single" w:sz="2" w:space="0" w:color="auto" w:frame="1"/>
        </w:rPr>
        <w:t>Investment Confidence</w:t>
      </w:r>
      <w:r w:rsidRPr="00215300">
        <w:rPr>
          <w:rFonts w:ascii="Segoe UI" w:eastAsia="Times New Roman" w:hAnsi="Segoe UI" w:cs="Segoe UI"/>
          <w:spacing w:val="2"/>
          <w:sz w:val="24"/>
          <w:szCs w:val="24"/>
        </w:rPr>
        <w:t>: These laws provided "necessary confidence to continue investing in scale" but also exposed sustainability limits</w:t>
      </w:r>
    </w:p>
    <w:p w:rsidR="00215300" w:rsidRPr="00215300" w:rsidRDefault="00215300" w:rsidP="00215300">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rPr>
      </w:pPr>
      <w:r w:rsidRPr="00215300">
        <w:rPr>
          <w:rFonts w:ascii="Segoe UI" w:eastAsia="Times New Roman" w:hAnsi="Segoe UI" w:cs="Segoe UI"/>
          <w:b/>
          <w:bCs/>
          <w:spacing w:val="2"/>
          <w:sz w:val="24"/>
          <w:szCs w:val="24"/>
          <w:bdr w:val="single" w:sz="2" w:space="0" w:color="auto" w:frame="1"/>
        </w:rPr>
        <w:t>Optimization Trade-offs</w:t>
      </w:r>
      <w:r w:rsidRPr="00215300">
        <w:rPr>
          <w:rFonts w:ascii="Segoe UI" w:eastAsia="Times New Roman" w:hAnsi="Segoe UI" w:cs="Segoe UI"/>
          <w:spacing w:val="2"/>
          <w:sz w:val="24"/>
          <w:szCs w:val="24"/>
        </w:rPr>
        <w:t>: The research showed optimal compute allocation often differs from maximum performance approaches</w:t>
      </w:r>
    </w:p>
    <w:p w:rsidR="00215300" w:rsidRPr="00894AE0" w:rsidRDefault="00BC34F9" w:rsidP="007529C0">
      <w:pPr>
        <w:jc w:val="both"/>
      </w:pPr>
      <w:r>
        <w:rPr>
          <w:rFonts w:ascii="Segoe UI" w:hAnsi="Segoe UI" w:cs="Segoe UI"/>
          <w:b/>
          <w:bCs/>
          <w:spacing w:val="2"/>
          <w:bdr w:val="single" w:sz="2" w:space="0" w:color="auto" w:frame="1"/>
        </w:rPr>
        <w:t xml:space="preserve">Alignment </w:t>
      </w:r>
      <w:r w:rsidR="00215300" w:rsidRPr="00215300">
        <w:rPr>
          <w:rFonts w:ascii="Segoe UI" w:hAnsi="Segoe UI" w:cs="Segoe UI"/>
          <w:b/>
          <w:bCs/>
          <w:spacing w:val="2"/>
          <w:bdr w:val="single" w:sz="2" w:space="0" w:color="auto" w:frame="1"/>
        </w:rPr>
        <w:t>with Modern Challenges</w:t>
      </w:r>
      <w:proofErr w:type="gramStart"/>
      <w:r w:rsidR="00215300" w:rsidRPr="00215300">
        <w:rPr>
          <w:rFonts w:ascii="Segoe UI" w:hAnsi="Segoe UI" w:cs="Segoe UI"/>
          <w:spacing w:val="2"/>
        </w:rPr>
        <w:t>:</w:t>
      </w:r>
      <w:proofErr w:type="gramEnd"/>
      <w:r w:rsidR="00215300" w:rsidRPr="00215300">
        <w:rPr>
          <w:rFonts w:ascii="Segoe UI" w:hAnsi="Segoe UI" w:cs="Segoe UI"/>
          <w:spacing w:val="2"/>
        </w:rPr>
        <w:br/>
        <w:t>Recent analysis suggests scaling laws may be </w:t>
      </w:r>
      <w:r w:rsidR="00215300" w:rsidRPr="00215300">
        <w:rPr>
          <w:rFonts w:ascii="Segoe UI" w:hAnsi="Segoe UI" w:cs="Segoe UI"/>
          <w:b/>
          <w:bCs/>
          <w:spacing w:val="2"/>
          <w:bdr w:val="single" w:sz="2" w:space="0" w:color="auto" w:frame="1"/>
        </w:rPr>
        <w:t>approaching plateaus</w:t>
      </w:r>
      <w:r w:rsidR="00215300" w:rsidRPr="00215300">
        <w:rPr>
          <w:rFonts w:ascii="Segoe UI" w:hAnsi="Segoe UI" w:cs="Segoe UI"/>
          <w:spacing w:val="2"/>
        </w:rPr>
        <w:t>, with reports that "top research labs are struggling to create the next generation of better LLMs". This supports thesis about fundamental ROI limitations in current scaling approaches</w:t>
      </w:r>
      <w:r w:rsidR="00215300">
        <w:rPr>
          <w:rFonts w:ascii="Segoe UI" w:hAnsi="Segoe UI" w:cs="Segoe UI"/>
          <w:spacing w:val="2"/>
        </w:rPr>
        <w:t>.</w:t>
      </w:r>
    </w:p>
    <w:sectPr w:rsidR="00215300" w:rsidRPr="00894A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4E5EF2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D364C2D"/>
    <w:multiLevelType w:val="multilevel"/>
    <w:tmpl w:val="21D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5F7ED4"/>
    <w:multiLevelType w:val="hybridMultilevel"/>
    <w:tmpl w:val="73CA8C7A"/>
    <w:lvl w:ilvl="0" w:tplc="B706D10C">
      <w:start w:val="1"/>
      <w:numFmt w:val="upperRoman"/>
      <w:lvlText w:val="%1."/>
      <w:lvlJc w:val="left"/>
      <w:pPr>
        <w:ind w:left="1080" w:hanging="720"/>
      </w:pPr>
      <w:rPr>
        <w:rFonts w:hint="default"/>
        <w:sz w:val="24"/>
        <w:szCs w:val="24"/>
      </w:rPr>
    </w:lvl>
    <w:lvl w:ilvl="1" w:tplc="C4AA4D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663FB"/>
    <w:multiLevelType w:val="multilevel"/>
    <w:tmpl w:val="A2F6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A80334"/>
    <w:multiLevelType w:val="multilevel"/>
    <w:tmpl w:val="3D60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8C0FC7"/>
    <w:multiLevelType w:val="multilevel"/>
    <w:tmpl w:val="FA8C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595D76"/>
    <w:multiLevelType w:val="multilevel"/>
    <w:tmpl w:val="8C98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9841EA"/>
    <w:multiLevelType w:val="hybridMultilevel"/>
    <w:tmpl w:val="F0709F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6C1498"/>
    <w:multiLevelType w:val="multilevel"/>
    <w:tmpl w:val="94E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C948B1"/>
    <w:multiLevelType w:val="multilevel"/>
    <w:tmpl w:val="D8A8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6F1B3E"/>
    <w:multiLevelType w:val="multilevel"/>
    <w:tmpl w:val="8DB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B122BB"/>
    <w:multiLevelType w:val="multilevel"/>
    <w:tmpl w:val="13DA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836231"/>
    <w:multiLevelType w:val="multilevel"/>
    <w:tmpl w:val="5A4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11"/>
  </w:num>
  <w:num w:numId="21">
    <w:abstractNumId w:val="20"/>
  </w:num>
  <w:num w:numId="22">
    <w:abstractNumId w:val="16"/>
  </w:num>
  <w:num w:numId="23">
    <w:abstractNumId w:val="12"/>
  </w:num>
  <w:num w:numId="24">
    <w:abstractNumId w:val="21"/>
  </w:num>
  <w:num w:numId="25">
    <w:abstractNumId w:val="17"/>
  </w:num>
  <w:num w:numId="26">
    <w:abstractNumId w:val="9"/>
    <w:lvlOverride w:ilvl="0">
      <w:startOverride w:val="2"/>
    </w:lvlOverride>
    <w:lvlOverride w:ilvl="1">
      <w:startOverride w:val="1"/>
    </w:lvlOverride>
  </w:num>
  <w:num w:numId="27">
    <w:abstractNumId w:val="14"/>
  </w:num>
  <w:num w:numId="28">
    <w:abstractNumId w:val="18"/>
  </w:num>
  <w:num w:numId="29">
    <w:abstractNumId w:val="19"/>
  </w:num>
  <w:num w:numId="30">
    <w:abstractNumId w:val="10"/>
  </w:num>
  <w:num w:numId="31">
    <w:abstractNumId w:val="15"/>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5565"/>
    <w:rsid w:val="0015074B"/>
    <w:rsid w:val="001A13AF"/>
    <w:rsid w:val="00215300"/>
    <w:rsid w:val="0029639D"/>
    <w:rsid w:val="002D3EB1"/>
    <w:rsid w:val="00326F90"/>
    <w:rsid w:val="0038247F"/>
    <w:rsid w:val="00386C85"/>
    <w:rsid w:val="0042082E"/>
    <w:rsid w:val="004A3136"/>
    <w:rsid w:val="00607505"/>
    <w:rsid w:val="0061691D"/>
    <w:rsid w:val="007529C0"/>
    <w:rsid w:val="00894AE0"/>
    <w:rsid w:val="00AA1D8D"/>
    <w:rsid w:val="00AA51F1"/>
    <w:rsid w:val="00B36417"/>
    <w:rsid w:val="00B47730"/>
    <w:rsid w:val="00BC34F9"/>
    <w:rsid w:val="00C1357C"/>
    <w:rsid w:val="00CB0664"/>
    <w:rsid w:val="00D11802"/>
    <w:rsid w:val="00D37682"/>
    <w:rsid w:val="00F96A15"/>
    <w:rsid w:val="00FC693F"/>
    <w:rsid w:val="00FF6A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7F40C"/>
  <w14:defaultImageDpi w14:val="300"/>
  <w15:docId w15:val="{C3AA7FD0-AC1B-4AA9-B0DB-EC17D809F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7682"/>
  </w:style>
  <w:style w:type="paragraph" w:styleId="Heading1">
    <w:name w:val="heading 1"/>
    <w:basedOn w:val="Normal"/>
    <w:next w:val="Normal"/>
    <w:link w:val="Heading1Char"/>
    <w:uiPriority w:val="9"/>
    <w:qFormat/>
    <w:rsid w:val="00D37682"/>
    <w:pPr>
      <w:keepNext/>
      <w:keepLines/>
      <w:numPr>
        <w:numId w:val="1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37682"/>
    <w:pPr>
      <w:keepNext/>
      <w:keepLines/>
      <w:numPr>
        <w:ilvl w:val="1"/>
        <w:numId w:val="1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D37682"/>
    <w:pPr>
      <w:keepNext/>
      <w:keepLines/>
      <w:numPr>
        <w:ilvl w:val="2"/>
        <w:numId w:val="1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37682"/>
    <w:pPr>
      <w:keepNext/>
      <w:keepLines/>
      <w:numPr>
        <w:ilvl w:val="3"/>
        <w:numId w:val="1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37682"/>
    <w:pPr>
      <w:keepNext/>
      <w:keepLines/>
      <w:numPr>
        <w:ilvl w:val="4"/>
        <w:numId w:val="19"/>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D37682"/>
    <w:pPr>
      <w:keepNext/>
      <w:keepLines/>
      <w:numPr>
        <w:ilvl w:val="5"/>
        <w:numId w:val="19"/>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D37682"/>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37682"/>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37682"/>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D37682"/>
    <w:pPr>
      <w:spacing w:after="0" w:line="240" w:lineRule="auto"/>
    </w:pPr>
  </w:style>
  <w:style w:type="character" w:customStyle="1" w:styleId="Heading1Char">
    <w:name w:val="Heading 1 Char"/>
    <w:basedOn w:val="DefaultParagraphFont"/>
    <w:link w:val="Heading1"/>
    <w:uiPriority w:val="9"/>
    <w:rsid w:val="00D37682"/>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37682"/>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37682"/>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D3768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37682"/>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3768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37682"/>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37682"/>
    <w:pPr>
      <w:spacing w:before="160"/>
      <w:ind w:left="720" w:right="720"/>
    </w:pPr>
    <w:rPr>
      <w:i/>
      <w:iCs/>
      <w:color w:val="000000" w:themeColor="text1"/>
    </w:rPr>
  </w:style>
  <w:style w:type="character" w:customStyle="1" w:styleId="QuoteChar">
    <w:name w:val="Quote Char"/>
    <w:basedOn w:val="DefaultParagraphFont"/>
    <w:link w:val="Quote"/>
    <w:uiPriority w:val="29"/>
    <w:rsid w:val="00D37682"/>
    <w:rPr>
      <w:i/>
      <w:iCs/>
      <w:color w:val="000000" w:themeColor="text1"/>
    </w:rPr>
  </w:style>
  <w:style w:type="character" w:customStyle="1" w:styleId="Heading4Char">
    <w:name w:val="Heading 4 Char"/>
    <w:basedOn w:val="DefaultParagraphFont"/>
    <w:link w:val="Heading4"/>
    <w:uiPriority w:val="9"/>
    <w:semiHidden/>
    <w:rsid w:val="00D3768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37682"/>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D37682"/>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D3768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3768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37682"/>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37682"/>
    <w:pPr>
      <w:spacing w:after="200" w:line="240" w:lineRule="auto"/>
    </w:pPr>
    <w:rPr>
      <w:i/>
      <w:iCs/>
      <w:color w:val="1F497D" w:themeColor="text2"/>
      <w:sz w:val="18"/>
      <w:szCs w:val="18"/>
    </w:rPr>
  </w:style>
  <w:style w:type="character" w:styleId="Strong">
    <w:name w:val="Strong"/>
    <w:basedOn w:val="DefaultParagraphFont"/>
    <w:uiPriority w:val="22"/>
    <w:qFormat/>
    <w:rsid w:val="00D37682"/>
    <w:rPr>
      <w:b/>
      <w:bCs/>
      <w:color w:val="000000" w:themeColor="text1"/>
    </w:rPr>
  </w:style>
  <w:style w:type="character" w:styleId="Emphasis">
    <w:name w:val="Emphasis"/>
    <w:basedOn w:val="DefaultParagraphFont"/>
    <w:uiPriority w:val="20"/>
    <w:qFormat/>
    <w:rsid w:val="00D37682"/>
    <w:rPr>
      <w:i/>
      <w:iCs/>
      <w:color w:val="auto"/>
    </w:rPr>
  </w:style>
  <w:style w:type="paragraph" w:styleId="IntenseQuote">
    <w:name w:val="Intense Quote"/>
    <w:basedOn w:val="Normal"/>
    <w:next w:val="Normal"/>
    <w:link w:val="IntenseQuoteChar"/>
    <w:uiPriority w:val="30"/>
    <w:qFormat/>
    <w:rsid w:val="00D3768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37682"/>
    <w:rPr>
      <w:color w:val="000000" w:themeColor="text1"/>
      <w:shd w:val="clear" w:color="auto" w:fill="F2F2F2" w:themeFill="background1" w:themeFillShade="F2"/>
    </w:rPr>
  </w:style>
  <w:style w:type="character" w:styleId="SubtleEmphasis">
    <w:name w:val="Subtle Emphasis"/>
    <w:basedOn w:val="DefaultParagraphFont"/>
    <w:uiPriority w:val="19"/>
    <w:qFormat/>
    <w:rsid w:val="00D37682"/>
    <w:rPr>
      <w:i/>
      <w:iCs/>
      <w:color w:val="404040" w:themeColor="text1" w:themeTint="BF"/>
    </w:rPr>
  </w:style>
  <w:style w:type="character" w:styleId="IntenseEmphasis">
    <w:name w:val="Intense Emphasis"/>
    <w:basedOn w:val="DefaultParagraphFont"/>
    <w:uiPriority w:val="21"/>
    <w:qFormat/>
    <w:rsid w:val="00D37682"/>
    <w:rPr>
      <w:b/>
      <w:bCs/>
      <w:i/>
      <w:iCs/>
      <w:caps/>
    </w:rPr>
  </w:style>
  <w:style w:type="character" w:styleId="SubtleReference">
    <w:name w:val="Subtle Reference"/>
    <w:basedOn w:val="DefaultParagraphFont"/>
    <w:uiPriority w:val="31"/>
    <w:qFormat/>
    <w:rsid w:val="00D3768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37682"/>
    <w:rPr>
      <w:b/>
      <w:bCs/>
      <w:smallCaps/>
      <w:u w:val="single"/>
    </w:rPr>
  </w:style>
  <w:style w:type="character" w:styleId="BookTitle">
    <w:name w:val="Book Title"/>
    <w:basedOn w:val="DefaultParagraphFont"/>
    <w:uiPriority w:val="33"/>
    <w:qFormat/>
    <w:rsid w:val="00D37682"/>
    <w:rPr>
      <w:b w:val="0"/>
      <w:bCs w:val="0"/>
      <w:smallCaps/>
      <w:spacing w:val="5"/>
    </w:rPr>
  </w:style>
  <w:style w:type="paragraph" w:styleId="TOCHeading">
    <w:name w:val="TOC Heading"/>
    <w:basedOn w:val="Heading1"/>
    <w:next w:val="Normal"/>
    <w:uiPriority w:val="39"/>
    <w:semiHidden/>
    <w:unhideWhenUsed/>
    <w:qFormat/>
    <w:rsid w:val="00D37682"/>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Paragraph">
    <w:name w:val="IEEE Paragraph"/>
    <w:basedOn w:val="Normal"/>
    <w:link w:val="IEEEParagraphChar"/>
    <w:rsid w:val="00C1357C"/>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C1357C"/>
    <w:rPr>
      <w:rFonts w:ascii="Times New Roman" w:eastAsia="SimSun" w:hAnsi="Times New Roman" w:cs="Times New Roman"/>
      <w:sz w:val="20"/>
      <w:szCs w:val="24"/>
      <w:lang w:val="en-AU" w:eastAsia="zh-CN"/>
    </w:rPr>
  </w:style>
  <w:style w:type="paragraph" w:customStyle="1" w:styleId="my-2">
    <w:name w:val="my-2"/>
    <w:basedOn w:val="Normal"/>
    <w:rsid w:val="00894A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756957">
      <w:bodyDiv w:val="1"/>
      <w:marLeft w:val="0"/>
      <w:marRight w:val="0"/>
      <w:marTop w:val="0"/>
      <w:marBottom w:val="0"/>
      <w:divBdr>
        <w:top w:val="none" w:sz="0" w:space="0" w:color="auto"/>
        <w:left w:val="none" w:sz="0" w:space="0" w:color="auto"/>
        <w:bottom w:val="none" w:sz="0" w:space="0" w:color="auto"/>
        <w:right w:val="none" w:sz="0" w:space="0" w:color="auto"/>
      </w:divBdr>
    </w:div>
    <w:div w:id="564221664">
      <w:bodyDiv w:val="1"/>
      <w:marLeft w:val="0"/>
      <w:marRight w:val="0"/>
      <w:marTop w:val="0"/>
      <w:marBottom w:val="0"/>
      <w:divBdr>
        <w:top w:val="none" w:sz="0" w:space="0" w:color="auto"/>
        <w:left w:val="none" w:sz="0" w:space="0" w:color="auto"/>
        <w:bottom w:val="none" w:sz="0" w:space="0" w:color="auto"/>
        <w:right w:val="none" w:sz="0" w:space="0" w:color="auto"/>
      </w:divBdr>
    </w:div>
    <w:div w:id="712583447">
      <w:bodyDiv w:val="1"/>
      <w:marLeft w:val="0"/>
      <w:marRight w:val="0"/>
      <w:marTop w:val="0"/>
      <w:marBottom w:val="0"/>
      <w:divBdr>
        <w:top w:val="none" w:sz="0" w:space="0" w:color="auto"/>
        <w:left w:val="none" w:sz="0" w:space="0" w:color="auto"/>
        <w:bottom w:val="none" w:sz="0" w:space="0" w:color="auto"/>
        <w:right w:val="none" w:sz="0" w:space="0" w:color="auto"/>
      </w:divBdr>
    </w:div>
    <w:div w:id="731192492">
      <w:bodyDiv w:val="1"/>
      <w:marLeft w:val="0"/>
      <w:marRight w:val="0"/>
      <w:marTop w:val="0"/>
      <w:marBottom w:val="0"/>
      <w:divBdr>
        <w:top w:val="none" w:sz="0" w:space="0" w:color="auto"/>
        <w:left w:val="none" w:sz="0" w:space="0" w:color="auto"/>
        <w:bottom w:val="none" w:sz="0" w:space="0" w:color="auto"/>
        <w:right w:val="none" w:sz="0" w:space="0" w:color="auto"/>
      </w:divBdr>
    </w:div>
    <w:div w:id="893157142">
      <w:bodyDiv w:val="1"/>
      <w:marLeft w:val="0"/>
      <w:marRight w:val="0"/>
      <w:marTop w:val="0"/>
      <w:marBottom w:val="0"/>
      <w:divBdr>
        <w:top w:val="none" w:sz="0" w:space="0" w:color="auto"/>
        <w:left w:val="none" w:sz="0" w:space="0" w:color="auto"/>
        <w:bottom w:val="none" w:sz="0" w:space="0" w:color="auto"/>
        <w:right w:val="none" w:sz="0" w:space="0" w:color="auto"/>
      </w:divBdr>
    </w:div>
    <w:div w:id="963078218">
      <w:bodyDiv w:val="1"/>
      <w:marLeft w:val="0"/>
      <w:marRight w:val="0"/>
      <w:marTop w:val="0"/>
      <w:marBottom w:val="0"/>
      <w:divBdr>
        <w:top w:val="none" w:sz="0" w:space="0" w:color="auto"/>
        <w:left w:val="none" w:sz="0" w:space="0" w:color="auto"/>
        <w:bottom w:val="none" w:sz="0" w:space="0" w:color="auto"/>
        <w:right w:val="none" w:sz="0" w:space="0" w:color="auto"/>
      </w:divBdr>
    </w:div>
    <w:div w:id="966549558">
      <w:bodyDiv w:val="1"/>
      <w:marLeft w:val="0"/>
      <w:marRight w:val="0"/>
      <w:marTop w:val="0"/>
      <w:marBottom w:val="0"/>
      <w:divBdr>
        <w:top w:val="none" w:sz="0" w:space="0" w:color="auto"/>
        <w:left w:val="none" w:sz="0" w:space="0" w:color="auto"/>
        <w:bottom w:val="none" w:sz="0" w:space="0" w:color="auto"/>
        <w:right w:val="none" w:sz="0" w:space="0" w:color="auto"/>
      </w:divBdr>
    </w:div>
    <w:div w:id="1059062396">
      <w:bodyDiv w:val="1"/>
      <w:marLeft w:val="0"/>
      <w:marRight w:val="0"/>
      <w:marTop w:val="0"/>
      <w:marBottom w:val="0"/>
      <w:divBdr>
        <w:top w:val="none" w:sz="0" w:space="0" w:color="auto"/>
        <w:left w:val="none" w:sz="0" w:space="0" w:color="auto"/>
        <w:bottom w:val="none" w:sz="0" w:space="0" w:color="auto"/>
        <w:right w:val="none" w:sz="0" w:space="0" w:color="auto"/>
      </w:divBdr>
    </w:div>
    <w:div w:id="1083258999">
      <w:bodyDiv w:val="1"/>
      <w:marLeft w:val="0"/>
      <w:marRight w:val="0"/>
      <w:marTop w:val="0"/>
      <w:marBottom w:val="0"/>
      <w:divBdr>
        <w:top w:val="none" w:sz="0" w:space="0" w:color="auto"/>
        <w:left w:val="none" w:sz="0" w:space="0" w:color="auto"/>
        <w:bottom w:val="none" w:sz="0" w:space="0" w:color="auto"/>
        <w:right w:val="none" w:sz="0" w:space="0" w:color="auto"/>
      </w:divBdr>
    </w:div>
    <w:div w:id="1406688911">
      <w:bodyDiv w:val="1"/>
      <w:marLeft w:val="0"/>
      <w:marRight w:val="0"/>
      <w:marTop w:val="0"/>
      <w:marBottom w:val="0"/>
      <w:divBdr>
        <w:top w:val="none" w:sz="0" w:space="0" w:color="auto"/>
        <w:left w:val="none" w:sz="0" w:space="0" w:color="auto"/>
        <w:bottom w:val="none" w:sz="0" w:space="0" w:color="auto"/>
        <w:right w:val="none" w:sz="0" w:space="0" w:color="auto"/>
      </w:divBdr>
    </w:div>
    <w:div w:id="1503350960">
      <w:bodyDiv w:val="1"/>
      <w:marLeft w:val="0"/>
      <w:marRight w:val="0"/>
      <w:marTop w:val="0"/>
      <w:marBottom w:val="0"/>
      <w:divBdr>
        <w:top w:val="none" w:sz="0" w:space="0" w:color="auto"/>
        <w:left w:val="none" w:sz="0" w:space="0" w:color="auto"/>
        <w:bottom w:val="none" w:sz="0" w:space="0" w:color="auto"/>
        <w:right w:val="none" w:sz="0" w:space="0" w:color="auto"/>
      </w:divBdr>
    </w:div>
    <w:div w:id="1587764615">
      <w:bodyDiv w:val="1"/>
      <w:marLeft w:val="0"/>
      <w:marRight w:val="0"/>
      <w:marTop w:val="0"/>
      <w:marBottom w:val="0"/>
      <w:divBdr>
        <w:top w:val="none" w:sz="0" w:space="0" w:color="auto"/>
        <w:left w:val="none" w:sz="0" w:space="0" w:color="auto"/>
        <w:bottom w:val="none" w:sz="0" w:space="0" w:color="auto"/>
        <w:right w:val="none" w:sz="0" w:space="0" w:color="auto"/>
      </w:divBdr>
    </w:div>
    <w:div w:id="1607690739">
      <w:bodyDiv w:val="1"/>
      <w:marLeft w:val="0"/>
      <w:marRight w:val="0"/>
      <w:marTop w:val="0"/>
      <w:marBottom w:val="0"/>
      <w:divBdr>
        <w:top w:val="none" w:sz="0" w:space="0" w:color="auto"/>
        <w:left w:val="none" w:sz="0" w:space="0" w:color="auto"/>
        <w:bottom w:val="none" w:sz="0" w:space="0" w:color="auto"/>
        <w:right w:val="none" w:sz="0" w:space="0" w:color="auto"/>
      </w:divBdr>
    </w:div>
    <w:div w:id="1759595876">
      <w:bodyDiv w:val="1"/>
      <w:marLeft w:val="0"/>
      <w:marRight w:val="0"/>
      <w:marTop w:val="0"/>
      <w:marBottom w:val="0"/>
      <w:divBdr>
        <w:top w:val="none" w:sz="0" w:space="0" w:color="auto"/>
        <w:left w:val="none" w:sz="0" w:space="0" w:color="auto"/>
        <w:bottom w:val="none" w:sz="0" w:space="0" w:color="auto"/>
        <w:right w:val="none" w:sz="0" w:space="0" w:color="auto"/>
      </w:divBdr>
    </w:div>
    <w:div w:id="1822233923">
      <w:bodyDiv w:val="1"/>
      <w:marLeft w:val="0"/>
      <w:marRight w:val="0"/>
      <w:marTop w:val="0"/>
      <w:marBottom w:val="0"/>
      <w:divBdr>
        <w:top w:val="none" w:sz="0" w:space="0" w:color="auto"/>
        <w:left w:val="none" w:sz="0" w:space="0" w:color="auto"/>
        <w:bottom w:val="none" w:sz="0" w:space="0" w:color="auto"/>
        <w:right w:val="none" w:sz="0" w:space="0" w:color="auto"/>
      </w:divBdr>
    </w:div>
    <w:div w:id="2069919075">
      <w:bodyDiv w:val="1"/>
      <w:marLeft w:val="0"/>
      <w:marRight w:val="0"/>
      <w:marTop w:val="0"/>
      <w:marBottom w:val="0"/>
      <w:divBdr>
        <w:top w:val="none" w:sz="0" w:space="0" w:color="auto"/>
        <w:left w:val="none" w:sz="0" w:space="0" w:color="auto"/>
        <w:bottom w:val="none" w:sz="0" w:space="0" w:color="auto"/>
        <w:right w:val="none" w:sz="0" w:space="0" w:color="auto"/>
      </w:divBdr>
    </w:div>
    <w:div w:id="20729254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3B9EC7-0E0C-4429-9CED-06D5C323E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7</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Name</cp:lastModifiedBy>
  <cp:revision>7</cp:revision>
  <dcterms:created xsi:type="dcterms:W3CDTF">2025-09-22T05:55:00Z</dcterms:created>
  <dcterms:modified xsi:type="dcterms:W3CDTF">2025-09-23T01:26:00Z</dcterms:modified>
  <cp:category/>
</cp:coreProperties>
</file>