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77777777"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9"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F10163" w:rsidP="00CC2B20">
      <w:pPr>
        <w:spacing w:after="0"/>
        <w:textAlignment w:val="baseline"/>
        <w:rPr>
          <w:rFonts w:ascii="Calibri" w:hAnsi="Calibri" w:cs="Times"/>
        </w:rPr>
      </w:pPr>
      <w:hyperlink r:id="rId10"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bookmarkStart w:id="4" w:name="_GoBack"/>
      <w:bookmarkEnd w:id="4"/>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 xml:space="preserve">At UBC Okanagan health services to students are provided by Health and Wellness.  Nurses, physicians and counsellors provide health care and counselling related to physical health, emotional/mental health </w:t>
      </w:r>
      <w:r w:rsidRPr="004E6AB4">
        <w:rPr>
          <w:rFonts w:ascii="Calibri" w:hAnsi="Calibri" w:cs="Times"/>
        </w:rPr>
        <w:lastRenderedPageBreak/>
        <w:t>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4333E3A2"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18A94" w14:textId="77777777" w:rsidR="00F10163" w:rsidRDefault="00F10163" w:rsidP="0031550F">
      <w:pPr>
        <w:spacing w:after="0"/>
      </w:pPr>
      <w:r>
        <w:separator/>
      </w:r>
    </w:p>
  </w:endnote>
  <w:endnote w:type="continuationSeparator" w:id="0">
    <w:p w14:paraId="3C893764" w14:textId="77777777" w:rsidR="00F10163" w:rsidRDefault="00F1016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9FD8B" w14:textId="77777777" w:rsidR="00F10163" w:rsidRDefault="00F10163" w:rsidP="0031550F">
      <w:pPr>
        <w:spacing w:after="0"/>
      </w:pPr>
      <w:r>
        <w:separator/>
      </w:r>
    </w:p>
  </w:footnote>
  <w:footnote w:type="continuationSeparator" w:id="0">
    <w:p w14:paraId="2815627F" w14:textId="77777777" w:rsidR="00F10163" w:rsidRDefault="00F1016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460</cp:revision>
  <dcterms:created xsi:type="dcterms:W3CDTF">2021-04-09T17:39:00Z</dcterms:created>
  <dcterms:modified xsi:type="dcterms:W3CDTF">2021-07-27T23:11:00Z</dcterms:modified>
</cp:coreProperties>
</file>